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АДМИНИСТРАЦИЯ   ПОСЕЛКА ТЕТКИНО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ГЛУШКОВСКОГО РАЙОНА КУРСКОЙ ОБЛАСТИ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keepNext/>
              <w:jc w:val="center"/>
              <w:outlineLvl w:val="0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П  О  С  Т  А  Н  О  В  Л  Е  Н  И  Е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bookmarkStart w:id="23" w:name="_GoBack"/>
            <w:bookmarkEnd w:id="23"/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от  «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07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» марта 2023 года 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38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пос. Теткино                               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7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5" w:hRule="atLeast"/>
              </w:trPr>
              <w:tc>
                <w:tcPr>
                  <w:tcW w:w="4972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Порядка составления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ru-RU"/>
                    </w:rPr>
                    <w:t>топливно-энергетических балансов муниципального образования «поселок Тетино» Глушковского района Курской области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В соответствии с  законом от 27.06.2010 г. № 190-ФЗ «О теплоснабжении», руководствуясь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Приказом Министерства энергетики Российской Федерации от 29.10.2021 № 1169 «Об утверждении Порядка составления топливно-энергетических балансов субъектов Российской Федерации, муниципальных образований», 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ставом муниципального образования «поселок Теткино» Глушковского района Курской области,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      ПОСТАНОВЛЯЮ: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1. Утвердить прилагаемый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\l "sub_1000"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составления топливно-энергетических балансов муниципального образования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«поселок Теткино» Глушковского района Курской области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2.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Настоящее постановление разместить на официальном сайте администрации поселка Тетино Глушковского района в информационно-телекоммуникационной сети «Интернет».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3. Контроль за исполнением настоящего постановления оставляю за собой.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4. Настоящее Постановление вступает в силу с даты его принятия.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pStyle w:val="9"/>
              <w:ind w:firstLine="0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>Глава   поселка Теткино</w:t>
            </w:r>
          </w:p>
          <w:p>
            <w:pPr>
              <w:pStyle w:val="9"/>
              <w:ind w:firstLine="0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Глушковского района                                     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С.В. Призенко</w:t>
            </w: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6124"/>
                <w:tab w:val="right" w:pos="9531"/>
              </w:tabs>
              <w:rPr>
                <w:rFonts w:hint="default"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6124"/>
                <w:tab w:val="right" w:pos="9531"/>
              </w:tabs>
              <w:rPr>
                <w:rFonts w:hint="default"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6124"/>
                <w:tab w:val="right" w:pos="9531"/>
              </w:tabs>
              <w:rPr>
                <w:rFonts w:hint="default"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6124"/>
                <w:tab w:val="right" w:pos="9531"/>
              </w:tabs>
              <w:rPr>
                <w:rFonts w:hint="default"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6124"/>
                <w:tab w:val="right" w:pos="9531"/>
              </w:tabs>
              <w:rPr>
                <w:rFonts w:hint="default"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поселка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Теткино Глушковского района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марта 2023 г.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38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\l "sub_1000"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Порядок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составления топливно-энергетических балансов муниципального образования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«поселок Теткино» Глушковского района Курской области</w:t>
            </w: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0" w:name="sub_10100"/>
            <w:r>
              <w:rPr>
                <w:rFonts w:hint="default" w:ascii="Times New Roman" w:hAnsi="Times New Roman" w:cs="Times New Roman"/>
                <w:b w:val="0"/>
                <w:color w:val="auto"/>
                <w:sz w:val="24"/>
                <w:szCs w:val="24"/>
              </w:rPr>
              <w:t>I. Общие положения</w:t>
            </w:r>
          </w:p>
          <w:bookmarkEnd w:id="0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" w:name="sub_1001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 Настоящий Порядок определяет правила составления администрацией поселка Теткино Глушковского района фактических и прогнозных топливно-энергетических балансов муниципального образования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«поселок Теткино» Глушковского района Курской области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(далее по тексту – Порядок).</w:t>
            </w:r>
          </w:p>
          <w:bookmarkEnd w:id="1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2" w:name="sub_1002"/>
            <w:r>
              <w:rPr>
                <w:rFonts w:hint="default" w:ascii="Times New Roman" w:hAnsi="Times New Roman" w:cs="Times New Roman"/>
                <w:sz w:val="24"/>
                <w:szCs w:val="24"/>
              </w:rPr>
              <w:t>2. Фактический и прогнозный топливно-энергетические балансы (далее - фактический баланс, прогнозный баланс, баланс соответственно) содержат взаимосвязанные показатели количественного соответствия поставок топливно-энергетических ресурсов (далее -ТЭР) и их потребления на территории муниципального образования, устанавливают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определяют эффективность использования ТЭР.</w:t>
            </w:r>
          </w:p>
          <w:bookmarkEnd w:id="2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3" w:name="sub_1003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 Балансы составляются по рекомендуемому образцу, приведенному в Приказе  Министерства  энергетики РФ от 29.10.2021 г. № 1169 «Об утверждении Порядка составления топливно-энергетических балансов субъектов Российской Федерации, муниципальных образований». </w:t>
            </w:r>
            <w:bookmarkEnd w:id="3"/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 переходе на использование природного газа потребителями других видов ТЭР объемы потребления ТЭР таких потребителей исключаются из соответствующих виду замещенных ТЭР однопродуктовых прогнозных балансов.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" w:name="sub_1200"/>
            <w:r>
              <w:rPr>
                <w:rFonts w:hint="default"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II. Состав баланса</w:t>
            </w:r>
          </w:p>
          <w:bookmarkEnd w:id="4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5" w:name="sub_1004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 Баланс формируется в единых энергетических единицах - тоннах условного топлива (далее - т у.т.). </w:t>
            </w:r>
            <w:bookmarkEnd w:id="5"/>
            <w:bookmarkStart w:id="6" w:name="sub_1005"/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 Баланс состоит из девяти групп данных об отдельных видах ТЭР, которые формируются на основе однопродуктовых балансов.</w:t>
            </w:r>
          </w:p>
          <w:bookmarkEnd w:id="6"/>
          <w:p>
            <w:pPr>
              <w:pStyle w:val="2"/>
              <w:rPr>
                <w:rFonts w:hint="default"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7" w:name="sub_1300"/>
            <w:r>
              <w:rPr>
                <w:rFonts w:hint="default" w:ascii="Times New Roman" w:hAnsi="Times New Roman" w:cs="Times New Roman"/>
                <w:b w:val="0"/>
                <w:color w:val="auto"/>
                <w:sz w:val="24"/>
                <w:szCs w:val="24"/>
              </w:rPr>
              <w:t>III. Источники информации для составления балансов</w:t>
            </w:r>
          </w:p>
          <w:bookmarkEnd w:id="7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8" w:name="sub_1035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 Для заполнения строк и столбцов фактического баланса используется официальная статистическая информация, агрегированная по первичным статистическим данным форм федерального статистического наблюдения. </w:t>
            </w:r>
            <w:bookmarkEnd w:id="8"/>
            <w:bookmarkStart w:id="9" w:name="sub_1036"/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 Объем производства и структура потребления электрической энергии на территории муниципального образования устанавливается по данным отчета по формам федерального статистического наблюдения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"http://internet.garant.ru/document/redirect/402111266/5000"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23-Н «Сведения о производстве, передаче, распределении и потреблении электрической энергии», утвержденной приказом Росстата от 30.07.2021 № 462 (далее - форма N 23-Н), и  № 46-ЭЭ «Сведения о полезном отпуске (продаже) электрической энергии и мощности отдельным категориям потребителей», утвержденной приказом Росстата от 02.08.2018 № 477.</w:t>
            </w:r>
          </w:p>
          <w:bookmarkEnd w:id="9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0" w:name="sub_1037"/>
            <w:r>
              <w:rPr>
                <w:rFonts w:hint="default" w:ascii="Times New Roman" w:hAnsi="Times New Roman" w:cs="Times New Roman"/>
                <w:sz w:val="24"/>
                <w:szCs w:val="24"/>
              </w:rPr>
              <w:t>8. Итоговые данные о расходе ТЭР по отдельным видам продукции и работ (услуг), о расходе ТЭР по направлениям использования, а также о запасах ТЭР устанавливаются по данным отчета по форме федерального статистического наблюдения № 4 – ТЭР «Сведения об использовании топливно-энергетических ресурсов», утвержденной приказом Росстата от 30.07.2021 № 462.</w:t>
            </w:r>
          </w:p>
          <w:bookmarkEnd w:id="10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1" w:name="sub_1038"/>
            <w:r>
              <w:rPr>
                <w:rFonts w:hint="default" w:ascii="Times New Roman" w:hAnsi="Times New Roman" w:cs="Times New Roman"/>
                <w:sz w:val="24"/>
                <w:szCs w:val="24"/>
              </w:rPr>
              <w:t>9 . Объемы потребления электрической и тепловой энергии населением устанавливаются по данным отчета по форме федерального статистического наблюдения № 46-ЭЭ «Сведения об отпуске (передаче) электроэнергии распределительными сетевыми организациями отдельным категориям потребителей», утвержденной приказом Росстата от 05.09.2018 № 543, и форме федерального статистического наблюдения № 46-ТЭ «Сведения о полезном отпуске (продаже) тепловой энергии отдельным категориям потребителей», утвержденной приказом Росстата от 23.12.2016 № 848.</w:t>
            </w:r>
          </w:p>
          <w:bookmarkEnd w:id="11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2" w:name="sub_1039"/>
            <w:r>
              <w:rPr>
                <w:rFonts w:hint="default" w:ascii="Times New Roman" w:hAnsi="Times New Roman" w:cs="Times New Roman"/>
                <w:sz w:val="24"/>
                <w:szCs w:val="24"/>
              </w:rPr>
              <w:t>10. Объемы ТЭР на производство энергии и распределение выработки электрической энергии по отдельным станциям устанавливаются по данным отчета по  форме № 23-Н.</w:t>
            </w:r>
          </w:p>
          <w:bookmarkEnd w:id="12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3" w:name="sub_1040"/>
            <w:r>
              <w:rPr>
                <w:rFonts w:hint="default" w:ascii="Times New Roman" w:hAnsi="Times New Roman" w:cs="Times New Roman"/>
                <w:sz w:val="24"/>
                <w:szCs w:val="24"/>
              </w:rPr>
              <w:t>11. Объемы потребления сетевого и сжиженного газа населением и в общественных зданиях устанавливаются по данным отчета по форме федерального статистического наблюдения № 22-ЖКХ «Сведения о работе ресурсоснабжающих организаций в условиях реформы», утвержденной приказом Росстата от 15.07.2020 № 383.</w:t>
            </w:r>
          </w:p>
          <w:bookmarkEnd w:id="13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4" w:name="sub_1041"/>
            <w:r>
              <w:rPr>
                <w:rFonts w:hint="default" w:ascii="Times New Roman" w:hAnsi="Times New Roman" w:cs="Times New Roman"/>
                <w:sz w:val="24"/>
                <w:szCs w:val="24"/>
              </w:rPr>
              <w:t>12. Объемы производства, собственного потребления и изменения запасов ТЭР устанавливаются по данным отчета по форме федерального статистического наблюдения  № 1 «Сведения о производстве, отгрузке продукции и балансе производственных мощностей», утвержденной приказом Росстата от 30.07.2021 № 462.</w:t>
            </w:r>
          </w:p>
          <w:bookmarkEnd w:id="14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5" w:name="sub_1044"/>
            <w:r>
              <w:rPr>
                <w:rFonts w:hint="default" w:ascii="Times New Roman" w:hAnsi="Times New Roman" w:cs="Times New Roman"/>
                <w:sz w:val="24"/>
                <w:szCs w:val="24"/>
              </w:rPr>
              <w:t>13. Объемы потребления и запасов ТЭР устанавливаются по данным отчета по форме федерального статистического наблюдения № 4 - запасы «Сведения о запасах топлива», утвержденной приказом Росстата от 24.07.2020 № 410.</w:t>
            </w:r>
          </w:p>
          <w:bookmarkEnd w:id="15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6" w:name="sub_1045"/>
            <w:r>
              <w:rPr>
                <w:rFonts w:hint="default" w:ascii="Times New Roman" w:hAnsi="Times New Roman" w:cs="Times New Roman"/>
                <w:sz w:val="24"/>
                <w:szCs w:val="24"/>
              </w:rPr>
              <w:t>14. Объемы производства тепловой энергии по группам котельных, по видам используемых на котельных ТЭР, информация о потерях тепловой энергии и ее потреблении населением, бюджетными организациями и прочими организациями устанавливаются по данным отчета по форме федерального статистического наблюдения № 1 –ТЕП «Сведения о снабжении теплоэнергией», утвержденной приказом Росстата от 30.07.2021 № 464.</w:t>
            </w:r>
          </w:p>
          <w:bookmarkEnd w:id="16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7" w:name="sub_1046"/>
            <w:r>
              <w:rPr>
                <w:rFonts w:hint="default" w:ascii="Times New Roman" w:hAnsi="Times New Roman" w:cs="Times New Roman"/>
                <w:sz w:val="24"/>
                <w:szCs w:val="24"/>
              </w:rPr>
              <w:t>15. Для заполнения строк и столбцов прогнозного баланса используется информация о фактических балансах муниципального образования за предыдущие периоды, а также другая информация, влияющая в прогнозных годах на количественные показатели поставок, потребления и распределения ТЭР на территории муниципального образования.</w:t>
            </w:r>
          </w:p>
          <w:bookmarkEnd w:id="17"/>
          <w:p>
            <w:pPr>
              <w:pStyle w:val="2"/>
              <w:rPr>
                <w:rFonts w:hint="default"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8" w:name="sub_1400"/>
            <w:r>
              <w:rPr>
                <w:rFonts w:hint="default" w:ascii="Times New Roman" w:hAnsi="Times New Roman" w:cs="Times New Roman"/>
                <w:b w:val="0"/>
                <w:color w:val="auto"/>
                <w:sz w:val="24"/>
                <w:szCs w:val="24"/>
              </w:rPr>
              <w:t>IV. Этапы составления баланса</w:t>
            </w:r>
          </w:p>
          <w:bookmarkEnd w:id="18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9" w:name="sub_1047"/>
            <w:r>
              <w:rPr>
                <w:rFonts w:hint="default" w:ascii="Times New Roman" w:hAnsi="Times New Roman" w:cs="Times New Roman"/>
                <w:sz w:val="24"/>
                <w:szCs w:val="24"/>
              </w:rPr>
              <w:t>16. Составление фактического баланса осуществляется в несколько этапов.</w:t>
            </w:r>
          </w:p>
          <w:bookmarkEnd w:id="19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20" w:name="sub_1053"/>
            <w:r>
              <w:rPr>
                <w:rFonts w:hint="default" w:ascii="Times New Roman" w:hAnsi="Times New Roman" w:cs="Times New Roman"/>
                <w:sz w:val="24"/>
                <w:szCs w:val="24"/>
              </w:rPr>
              <w:t>17. Составление фактического баланса должно быть завершено не позднее 1 октября года, следующего за отчетным, для которого составляется баланс.</w:t>
            </w:r>
          </w:p>
          <w:bookmarkEnd w:id="20"/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21" w:name="sub_1054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18. Этапы и сроки составления прогнозных балансов осуществляются в срок, не позднее 01 декабря текущего года. </w:t>
            </w:r>
            <w:bookmarkEnd w:id="21"/>
            <w:bookmarkStart w:id="22" w:name="sub_1055"/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 Актуализация прогнозных балансов осуществляется не чаще одного раза в год, но не реже одного раза в пять лет. Актуализация прогнозных балансов может осуществляться по требованию единого оператора газификации или регионального оператора газификации, реализующих межрегиональные или региональные программы газификации жилищно-коммунального хозяйства, промышленных и иных организаций (далее - программа газификации).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bookmarkEnd w:id="22"/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7B"/>
    <w:rsid w:val="00051C76"/>
    <w:rsid w:val="002232AA"/>
    <w:rsid w:val="0034371B"/>
    <w:rsid w:val="0035454A"/>
    <w:rsid w:val="00493AB2"/>
    <w:rsid w:val="004A6E19"/>
    <w:rsid w:val="00544FA5"/>
    <w:rsid w:val="005B539D"/>
    <w:rsid w:val="005D25F4"/>
    <w:rsid w:val="0061692B"/>
    <w:rsid w:val="008C4179"/>
    <w:rsid w:val="00973ECC"/>
    <w:rsid w:val="009E59A5"/>
    <w:rsid w:val="00BA6C3C"/>
    <w:rsid w:val="00D511D1"/>
    <w:rsid w:val="00DA7113"/>
    <w:rsid w:val="00F24506"/>
    <w:rsid w:val="00F35017"/>
    <w:rsid w:val="00F52F5E"/>
    <w:rsid w:val="00FC687B"/>
    <w:rsid w:val="00FE3191"/>
    <w:rsid w:val="180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6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link w:val="2"/>
    <w:locked/>
    <w:uiPriority w:val="9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7">
    <w:name w:val="Текст выноски Знак"/>
    <w:link w:val="5"/>
    <w:semiHidden/>
    <w:locked/>
    <w:uiPriority w:val="99"/>
    <w:rPr>
      <w:rFonts w:ascii="Tahoma" w:hAnsi="Tahoma" w:cs="Tahoma"/>
      <w:sz w:val="16"/>
      <w:szCs w:val="16"/>
      <w:lang w:eastAsia="ar-SA" w:bidi="ar-SA"/>
    </w:rPr>
  </w:style>
  <w:style w:type="character" w:customStyle="1" w:styleId="8">
    <w:name w:val="Гипертекстовая ссылка"/>
    <w:uiPriority w:val="99"/>
    <w:rPr>
      <w:rFonts w:cs="Times New Roman"/>
      <w:color w:val="106BBE"/>
    </w:rPr>
  </w:style>
  <w:style w:type="paragraph" w:styleId="9">
    <w:name w:val="No Spacing"/>
    <w:qFormat/>
    <w:uiPriority w:val="1"/>
    <w:pPr>
      <w:ind w:firstLine="227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1136</Words>
  <Characters>6476</Characters>
  <Lines>53</Lines>
  <Paragraphs>15</Paragraphs>
  <TotalTime>9</TotalTime>
  <ScaleCrop>false</ScaleCrop>
  <LinksUpToDate>false</LinksUpToDate>
  <CharactersWithSpaces>7597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2023-03-02T12:33:00Z</dcterms:created>
  <dc:creator>user</dc:creator>
  <cp:lastModifiedBy>user</cp:lastModifiedBy>
  <cp:lastPrinted>2023-03-10T07:57:32Z</cp:lastPrinted>
  <dcterms:modified xsi:type="dcterms:W3CDTF">2023-03-10T08:01:25Z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B3EC464FB9C84130928C9B7A944694C1</vt:lpwstr>
  </property>
</Properties>
</file>