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57" w:rsidRPr="00EA04D2" w:rsidRDefault="00D11F57" w:rsidP="00D11F57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</w:rPr>
      </w:pPr>
    </w:p>
    <w:p w:rsidR="00D11F57" w:rsidRPr="00EA04D2" w:rsidRDefault="00D11F57" w:rsidP="00D11F57">
      <w:pPr>
        <w:keepNext/>
        <w:tabs>
          <w:tab w:val="num" w:pos="720"/>
        </w:tabs>
        <w:spacing w:line="228" w:lineRule="auto"/>
        <w:ind w:left="720" w:hanging="7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A04D2">
        <w:rPr>
          <w:rFonts w:ascii="Arial" w:hAnsi="Arial" w:cs="Arial"/>
          <w:b/>
          <w:sz w:val="32"/>
          <w:szCs w:val="32"/>
        </w:rPr>
        <w:t>РОССИЙСКАЯ ФЕДЕРАЦИЯ                                                                                                      АДМИНИСТРАЦИЯ ПОСЕЛКА ТЕТКИНО</w:t>
      </w:r>
    </w:p>
    <w:p w:rsidR="00D11F57" w:rsidRPr="00EA04D2" w:rsidRDefault="00D11F57" w:rsidP="00D11F57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EA04D2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11F57" w:rsidRDefault="00D11F57" w:rsidP="00D11F57">
      <w:pPr>
        <w:overflowPunct w:val="0"/>
        <w:spacing w:before="440"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EA04D2">
        <w:rPr>
          <w:rFonts w:ascii="Arial" w:hAnsi="Arial" w:cs="Arial"/>
          <w:b/>
          <w:sz w:val="32"/>
          <w:szCs w:val="32"/>
        </w:rPr>
        <w:t>ПОСТАНОВЛЕНИЕ</w:t>
      </w:r>
    </w:p>
    <w:p w:rsidR="00EA04D2" w:rsidRPr="00EA04D2" w:rsidRDefault="00EA04D2" w:rsidP="00D11F57">
      <w:pPr>
        <w:overflowPunct w:val="0"/>
        <w:spacing w:before="440" w:line="228" w:lineRule="auto"/>
        <w:jc w:val="center"/>
        <w:rPr>
          <w:rFonts w:ascii="Arial" w:hAnsi="Arial" w:cs="Arial"/>
          <w:b/>
          <w:sz w:val="32"/>
          <w:szCs w:val="32"/>
        </w:rPr>
      </w:pPr>
    </w:p>
    <w:p w:rsidR="00D11F57" w:rsidRPr="00EA04D2" w:rsidRDefault="00CC76CB" w:rsidP="00D11F57">
      <w:pPr>
        <w:pStyle w:val="a3"/>
        <w:rPr>
          <w:rFonts w:ascii="Arial" w:hAnsi="Arial" w:cs="Arial"/>
          <w:noProof/>
          <w:sz w:val="24"/>
          <w:szCs w:val="24"/>
          <w:u w:val="single"/>
        </w:rPr>
      </w:pPr>
      <w:r w:rsidRPr="00EA04D2">
        <w:rPr>
          <w:rFonts w:ascii="Arial" w:hAnsi="Arial" w:cs="Arial"/>
          <w:noProof/>
          <w:sz w:val="24"/>
          <w:szCs w:val="24"/>
          <w:u w:val="single"/>
        </w:rPr>
        <w:t>от   15 января</w:t>
      </w:r>
      <w:r w:rsidR="00D11F57" w:rsidRPr="00EA04D2">
        <w:rPr>
          <w:rFonts w:ascii="Arial" w:hAnsi="Arial" w:cs="Arial"/>
          <w:noProof/>
          <w:sz w:val="24"/>
          <w:szCs w:val="24"/>
          <w:u w:val="single"/>
        </w:rPr>
        <w:t xml:space="preserve">     2020 г. №   </w:t>
      </w:r>
      <w:r w:rsidRPr="00EA04D2">
        <w:rPr>
          <w:rFonts w:ascii="Arial" w:hAnsi="Arial" w:cs="Arial"/>
          <w:noProof/>
          <w:sz w:val="24"/>
          <w:szCs w:val="24"/>
          <w:u w:val="single"/>
        </w:rPr>
        <w:t>5</w:t>
      </w:r>
      <w:r w:rsidR="00D11F57" w:rsidRPr="00EA04D2">
        <w:rPr>
          <w:rFonts w:ascii="Arial" w:hAnsi="Arial" w:cs="Arial"/>
          <w:noProof/>
          <w:sz w:val="24"/>
          <w:szCs w:val="24"/>
          <w:u w:val="single"/>
        </w:rPr>
        <w:t xml:space="preserve">          </w:t>
      </w:r>
    </w:p>
    <w:p w:rsidR="00D11F57" w:rsidRPr="00EA04D2" w:rsidRDefault="00D11F57" w:rsidP="00D11F57">
      <w:pPr>
        <w:pStyle w:val="a3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b/>
          <w:sz w:val="24"/>
          <w:szCs w:val="24"/>
        </w:rPr>
        <w:t xml:space="preserve">  </w:t>
      </w:r>
      <w:r w:rsidRPr="00EA04D2">
        <w:rPr>
          <w:rFonts w:ascii="Arial" w:hAnsi="Arial" w:cs="Arial"/>
          <w:sz w:val="24"/>
          <w:szCs w:val="24"/>
        </w:rPr>
        <w:t>п. Теткино</w:t>
      </w:r>
      <w:r w:rsidRPr="00EA04D2">
        <w:rPr>
          <w:rFonts w:ascii="Arial" w:hAnsi="Arial" w:cs="Arial"/>
          <w:sz w:val="24"/>
          <w:szCs w:val="24"/>
        </w:rPr>
        <w:tab/>
      </w:r>
    </w:p>
    <w:p w:rsidR="00BF1767" w:rsidRPr="00EA04D2" w:rsidRDefault="00BF1767">
      <w:pPr>
        <w:rPr>
          <w:rFonts w:ascii="Arial" w:hAnsi="Arial" w:cs="Arial"/>
          <w:sz w:val="24"/>
          <w:szCs w:val="24"/>
        </w:rPr>
      </w:pPr>
    </w:p>
    <w:p w:rsidR="00BB695F" w:rsidRPr="00EA04D2" w:rsidRDefault="00BB695F" w:rsidP="00BB6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04D2">
        <w:rPr>
          <w:rFonts w:ascii="Arial" w:hAnsi="Arial" w:cs="Arial"/>
          <w:b/>
          <w:sz w:val="24"/>
          <w:szCs w:val="24"/>
        </w:rPr>
        <w:t xml:space="preserve">Об утверждении Порядка формирования перечня налоговых расходов муниципального образования «поселок </w:t>
      </w:r>
      <w:proofErr w:type="gramStart"/>
      <w:r w:rsidRPr="00EA04D2">
        <w:rPr>
          <w:rFonts w:ascii="Arial" w:hAnsi="Arial" w:cs="Arial"/>
          <w:b/>
          <w:sz w:val="24"/>
          <w:szCs w:val="24"/>
        </w:rPr>
        <w:t>Теткино»  Глушковского</w:t>
      </w:r>
      <w:proofErr w:type="gramEnd"/>
      <w:r w:rsidRPr="00EA04D2">
        <w:rPr>
          <w:rFonts w:ascii="Arial" w:hAnsi="Arial" w:cs="Arial"/>
          <w:b/>
          <w:sz w:val="24"/>
          <w:szCs w:val="24"/>
        </w:rPr>
        <w:t xml:space="preserve"> района Курской области и оценки налоговых расходов муниципального образования « поселок Теткино»  Глушковского района Курской области</w:t>
      </w:r>
    </w:p>
    <w:p w:rsidR="00BB695F" w:rsidRPr="00EA04D2" w:rsidRDefault="00BB695F" w:rsidP="00D11F57">
      <w:pPr>
        <w:pStyle w:val="30"/>
        <w:shd w:val="clear" w:color="auto" w:fill="auto"/>
        <w:spacing w:before="0" w:after="296"/>
        <w:ind w:right="720"/>
        <w:jc w:val="left"/>
        <w:rPr>
          <w:rFonts w:ascii="Arial" w:hAnsi="Arial" w:cs="Arial"/>
          <w:sz w:val="24"/>
          <w:szCs w:val="24"/>
        </w:rPr>
      </w:pPr>
    </w:p>
    <w:p w:rsidR="00BB695F" w:rsidRPr="00EA04D2" w:rsidRDefault="00BB695F" w:rsidP="00BB69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EA04D2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sz w:val="24"/>
          <w:szCs w:val="24"/>
        </w:rPr>
        <w:t>В соответствии со статьей 174.3 Бюджетного кодекса Российской Федерации и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м796, Постановлением Администрации Курской области от 05.11.2019 г.№ 1062-па «Об утверждении Порядка форм</w:t>
      </w:r>
      <w:bookmarkStart w:id="0" w:name="_GoBack"/>
      <w:bookmarkEnd w:id="0"/>
      <w:r w:rsidRPr="00EA04D2">
        <w:rPr>
          <w:rFonts w:ascii="Arial" w:hAnsi="Arial" w:cs="Arial"/>
          <w:sz w:val="24"/>
          <w:szCs w:val="24"/>
        </w:rPr>
        <w:t>ирования перечня налоговых расходов Курской области и оценки налоговых расходов Курской области», Администрация поселка Теткино Глушковского  рай</w:t>
      </w:r>
      <w:r w:rsidR="00EA04D2" w:rsidRPr="00EA04D2">
        <w:rPr>
          <w:rFonts w:ascii="Arial" w:hAnsi="Arial" w:cs="Arial"/>
          <w:sz w:val="24"/>
          <w:szCs w:val="24"/>
        </w:rPr>
        <w:t>она Курской области ПОСТАНОВЛЯЕТ</w:t>
      </w:r>
      <w:r w:rsidRPr="00EA04D2">
        <w:rPr>
          <w:rFonts w:ascii="Arial" w:hAnsi="Arial" w:cs="Arial"/>
          <w:sz w:val="24"/>
          <w:szCs w:val="24"/>
        </w:rPr>
        <w:t>:</w:t>
      </w:r>
    </w:p>
    <w:p w:rsidR="00EA04D2" w:rsidRPr="00EA04D2" w:rsidRDefault="00EA04D2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B695F" w:rsidRPr="00EA04D2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sz w:val="24"/>
          <w:szCs w:val="24"/>
        </w:rPr>
        <w:t xml:space="preserve">1. Утвердить </w:t>
      </w:r>
      <w:hyperlink w:anchor="Par28" w:history="1">
        <w:r w:rsidRPr="00EA04D2">
          <w:rPr>
            <w:rFonts w:ascii="Arial" w:hAnsi="Arial" w:cs="Arial"/>
            <w:sz w:val="24"/>
            <w:szCs w:val="24"/>
          </w:rPr>
          <w:t>П</w:t>
        </w:r>
      </w:hyperlink>
      <w:r w:rsidRPr="00EA04D2">
        <w:rPr>
          <w:rFonts w:ascii="Arial" w:hAnsi="Arial" w:cs="Arial"/>
          <w:sz w:val="24"/>
          <w:szCs w:val="24"/>
        </w:rPr>
        <w:t>орядок формирования перечня налоговых расходов муниципального образования «поселок Теткино» Глушковского района Курской области и оценки налоговых расходов муниципального образования «поселок Теткино» Глушковского района Курской области согласно приложению.</w:t>
      </w:r>
    </w:p>
    <w:p w:rsidR="00BB695F" w:rsidRPr="00EA04D2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BB695F" w:rsidRPr="00EA04D2" w:rsidRDefault="00BB695F" w:rsidP="00D11F57">
      <w:pPr>
        <w:pStyle w:val="30"/>
        <w:shd w:val="clear" w:color="auto" w:fill="auto"/>
        <w:spacing w:before="0" w:after="296"/>
        <w:ind w:right="720"/>
        <w:jc w:val="left"/>
        <w:rPr>
          <w:rFonts w:ascii="Arial" w:hAnsi="Arial" w:cs="Arial"/>
          <w:sz w:val="24"/>
          <w:szCs w:val="24"/>
        </w:rPr>
      </w:pPr>
    </w:p>
    <w:p w:rsidR="00BB695F" w:rsidRPr="00EA04D2" w:rsidRDefault="00BB695F" w:rsidP="00D11F57">
      <w:pPr>
        <w:pStyle w:val="30"/>
        <w:shd w:val="clear" w:color="auto" w:fill="auto"/>
        <w:spacing w:before="0" w:after="296"/>
        <w:ind w:right="720"/>
        <w:jc w:val="left"/>
        <w:rPr>
          <w:rFonts w:ascii="Arial" w:hAnsi="Arial" w:cs="Arial"/>
          <w:sz w:val="24"/>
          <w:szCs w:val="24"/>
        </w:rPr>
      </w:pPr>
    </w:p>
    <w:p w:rsidR="00D11F57" w:rsidRPr="00EA04D2" w:rsidRDefault="00D11F57" w:rsidP="00D11F57">
      <w:pPr>
        <w:pStyle w:val="20"/>
        <w:spacing w:after="0" w:line="326" w:lineRule="exact"/>
        <w:jc w:val="left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sz w:val="24"/>
          <w:szCs w:val="24"/>
        </w:rPr>
        <w:t>Глава поселка Теткино</w:t>
      </w:r>
    </w:p>
    <w:p w:rsidR="00D11F57" w:rsidRPr="00EA04D2" w:rsidRDefault="00D11F57" w:rsidP="00D11F57">
      <w:pPr>
        <w:pStyle w:val="20"/>
        <w:spacing w:after="0" w:line="326" w:lineRule="exact"/>
        <w:jc w:val="left"/>
        <w:rPr>
          <w:rFonts w:ascii="Arial" w:hAnsi="Arial" w:cs="Arial"/>
          <w:sz w:val="24"/>
          <w:szCs w:val="24"/>
        </w:rPr>
      </w:pPr>
      <w:r w:rsidRPr="00EA04D2">
        <w:rPr>
          <w:rFonts w:ascii="Arial" w:hAnsi="Arial" w:cs="Arial"/>
          <w:sz w:val="24"/>
          <w:szCs w:val="24"/>
        </w:rPr>
        <w:t xml:space="preserve"> Глушковского района -                                       С.А. Бершов</w:t>
      </w:r>
    </w:p>
    <w:p w:rsidR="00D11F57" w:rsidRPr="00EA04D2" w:rsidRDefault="00D11F57" w:rsidP="00D11F57">
      <w:pPr>
        <w:pStyle w:val="20"/>
        <w:spacing w:after="0" w:line="326" w:lineRule="exact"/>
        <w:rPr>
          <w:rFonts w:ascii="Arial" w:hAnsi="Arial" w:cs="Arial"/>
          <w:sz w:val="24"/>
          <w:szCs w:val="24"/>
        </w:rPr>
      </w:pPr>
    </w:p>
    <w:p w:rsidR="00D11F57" w:rsidRPr="00EA04D2" w:rsidRDefault="00D11F57" w:rsidP="00D11F57">
      <w:pPr>
        <w:pStyle w:val="20"/>
        <w:shd w:val="clear" w:color="auto" w:fill="auto"/>
        <w:spacing w:after="0" w:line="326" w:lineRule="exact"/>
        <w:jc w:val="left"/>
        <w:rPr>
          <w:rFonts w:ascii="Arial" w:hAnsi="Arial" w:cs="Arial"/>
          <w:sz w:val="24"/>
          <w:szCs w:val="24"/>
        </w:rPr>
      </w:pPr>
    </w:p>
    <w:p w:rsidR="00D11F57" w:rsidRPr="00EA04D2" w:rsidRDefault="00D11F57" w:rsidP="00CC76CB">
      <w:pPr>
        <w:jc w:val="right"/>
        <w:rPr>
          <w:rFonts w:ascii="Arial" w:hAnsi="Arial" w:cs="Arial"/>
        </w:rPr>
      </w:pPr>
    </w:p>
    <w:p w:rsidR="00BB695F" w:rsidRPr="00EA04D2" w:rsidRDefault="00BB695F" w:rsidP="00CC76CB">
      <w:pPr>
        <w:widowControl w:val="0"/>
        <w:spacing w:after="0" w:line="326" w:lineRule="exact"/>
        <w:ind w:right="40"/>
        <w:jc w:val="center"/>
        <w:rPr>
          <w:rFonts w:ascii="Arial" w:hAnsi="Arial" w:cs="Arial"/>
          <w:sz w:val="28"/>
          <w:szCs w:val="28"/>
          <w:lang w:bidi="ru-RU"/>
        </w:rPr>
      </w:pPr>
    </w:p>
    <w:p w:rsidR="00BB695F" w:rsidRPr="00EA04D2" w:rsidRDefault="00BB695F" w:rsidP="00CC76CB">
      <w:pPr>
        <w:widowControl w:val="0"/>
        <w:spacing w:after="0" w:line="326" w:lineRule="exact"/>
        <w:ind w:right="40"/>
        <w:jc w:val="center"/>
        <w:rPr>
          <w:rFonts w:ascii="Arial" w:hAnsi="Arial" w:cs="Arial"/>
          <w:sz w:val="28"/>
          <w:szCs w:val="28"/>
          <w:lang w:bidi="ru-RU"/>
        </w:rPr>
      </w:pPr>
    </w:p>
    <w:p w:rsidR="00BB695F" w:rsidRPr="00EA04D2" w:rsidRDefault="00BB695F" w:rsidP="00BB69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EA04D2" w:rsidRDefault="00BB695F" w:rsidP="00BB69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Приложение</w:t>
      </w:r>
    </w:p>
    <w:p w:rsidR="00BB695F" w:rsidRPr="00BB695F" w:rsidRDefault="00BB695F" w:rsidP="00BB69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695F" w:rsidRPr="00BB695F" w:rsidRDefault="00BB695F" w:rsidP="00BB69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Теткино</w:t>
      </w:r>
    </w:p>
    <w:p w:rsidR="00BB695F" w:rsidRPr="00BB695F" w:rsidRDefault="00BB695F" w:rsidP="00BB69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Глушковского </w:t>
      </w:r>
      <w:r w:rsidRPr="00BB695F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Курской области</w:t>
      </w:r>
    </w:p>
    <w:p w:rsidR="00BB695F" w:rsidRPr="00BB695F" w:rsidRDefault="00BB695F" w:rsidP="00BB69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15.01.2020</w:t>
      </w:r>
      <w:r w:rsidRPr="00BB695F">
        <w:rPr>
          <w:rFonts w:ascii="Arial" w:hAnsi="Arial" w:cs="Arial"/>
          <w:sz w:val="24"/>
          <w:szCs w:val="24"/>
        </w:rPr>
        <w:t xml:space="preserve"> г. </w:t>
      </w:r>
      <w:proofErr w:type="gramStart"/>
      <w:r w:rsidRPr="00BB695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 5</w:t>
      </w:r>
      <w:proofErr w:type="gramEnd"/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EA04D2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hyperlink w:anchor="Par28" w:history="1">
        <w:r w:rsidR="00BB695F" w:rsidRPr="00BB695F">
          <w:rPr>
            <w:rFonts w:ascii="Arial" w:hAnsi="Arial" w:cs="Arial"/>
            <w:b/>
            <w:sz w:val="28"/>
            <w:szCs w:val="28"/>
          </w:rPr>
          <w:t>П</w:t>
        </w:r>
      </w:hyperlink>
      <w:r w:rsidR="00BB695F" w:rsidRPr="00BB695F">
        <w:rPr>
          <w:rFonts w:ascii="Arial" w:hAnsi="Arial" w:cs="Arial"/>
          <w:b/>
          <w:sz w:val="28"/>
          <w:szCs w:val="28"/>
        </w:rPr>
        <w:t>орядок формирования перечня налоговых расходов муниципального образования «</w:t>
      </w:r>
      <w:r w:rsidR="00BB695F">
        <w:rPr>
          <w:rFonts w:ascii="Arial" w:hAnsi="Arial" w:cs="Arial"/>
          <w:b/>
          <w:sz w:val="28"/>
          <w:szCs w:val="28"/>
        </w:rPr>
        <w:t xml:space="preserve">поселок Теткино» Глушковского </w:t>
      </w:r>
      <w:r w:rsidR="00BB695F" w:rsidRPr="00BB695F">
        <w:rPr>
          <w:rFonts w:ascii="Arial" w:hAnsi="Arial" w:cs="Arial"/>
          <w:b/>
          <w:sz w:val="28"/>
          <w:szCs w:val="28"/>
        </w:rPr>
        <w:t xml:space="preserve"> района Курской области и оценки налоговых расходов муниципального образования «</w:t>
      </w:r>
      <w:r w:rsidR="00BB695F">
        <w:rPr>
          <w:rFonts w:ascii="Arial" w:hAnsi="Arial" w:cs="Arial"/>
          <w:b/>
          <w:sz w:val="28"/>
          <w:szCs w:val="28"/>
        </w:rPr>
        <w:t>поселок Теткино»              Глушковского</w:t>
      </w:r>
      <w:r w:rsidR="00BB695F" w:rsidRPr="00BB695F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695F">
        <w:rPr>
          <w:rFonts w:ascii="Arial" w:hAnsi="Arial" w:cs="Arial"/>
          <w:b/>
          <w:sz w:val="28"/>
          <w:szCs w:val="28"/>
        </w:rPr>
        <w:t>I. Общие положения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1. Настоящий Порядок определяют процедуру формирования перечня налоговых </w:t>
      </w:r>
      <w:proofErr w:type="gramStart"/>
      <w:r w:rsidRPr="00BB695F">
        <w:rPr>
          <w:rFonts w:ascii="Arial" w:hAnsi="Arial" w:cs="Arial"/>
          <w:sz w:val="24"/>
          <w:szCs w:val="24"/>
        </w:rPr>
        <w:t>расходов  муниципального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образования «</w:t>
      </w:r>
      <w:r>
        <w:rPr>
          <w:rFonts w:ascii="Arial" w:hAnsi="Arial" w:cs="Arial"/>
          <w:sz w:val="24"/>
          <w:szCs w:val="24"/>
        </w:rPr>
        <w:t>поселок Теткино» Глушковского</w:t>
      </w:r>
      <w:r w:rsidRPr="00BB695F">
        <w:rPr>
          <w:rFonts w:ascii="Arial" w:hAnsi="Arial" w:cs="Arial"/>
          <w:sz w:val="24"/>
          <w:szCs w:val="24"/>
        </w:rPr>
        <w:t xml:space="preserve"> района Курской области и оценки налоговых расходов муниципального образования «</w:t>
      </w:r>
      <w:r>
        <w:rPr>
          <w:rFonts w:ascii="Arial" w:hAnsi="Arial" w:cs="Arial"/>
          <w:sz w:val="24"/>
          <w:szCs w:val="24"/>
        </w:rPr>
        <w:t>поселок Теткино» Глушковского</w:t>
      </w:r>
      <w:r w:rsidRPr="00BB695F">
        <w:rPr>
          <w:rFonts w:ascii="Arial" w:hAnsi="Arial" w:cs="Arial"/>
          <w:sz w:val="24"/>
          <w:szCs w:val="24"/>
        </w:rPr>
        <w:t xml:space="preserve"> района Курской области (далее- муниципальное образование).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2. Понятия, используемые в настоящем Порядке, означают следующее: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куратор налогового расхода -орган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целей </w:t>
      </w:r>
      <w:proofErr w:type="gramStart"/>
      <w:r w:rsidRPr="00BB695F">
        <w:rPr>
          <w:rFonts w:ascii="Arial" w:hAnsi="Arial" w:cs="Arial"/>
          <w:sz w:val="24"/>
          <w:szCs w:val="24"/>
        </w:rPr>
        <w:t>программы  муниципального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соответствующих налоговому расходу;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нормативные характеристики налоговых расходов муниципального образования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а также иные характеристики по перечню согласно </w:t>
      </w:r>
      <w:hyperlink w:anchor="Par133" w:history="1">
        <w:r w:rsidRPr="00BB695F">
          <w:rPr>
            <w:rFonts w:ascii="Arial" w:hAnsi="Arial" w:cs="Arial"/>
            <w:sz w:val="24"/>
            <w:szCs w:val="24"/>
          </w:rPr>
          <w:t>приложению</w:t>
        </w:r>
      </w:hyperlink>
      <w:r w:rsidRPr="00BB695F">
        <w:rPr>
          <w:rFonts w:ascii="Arial" w:hAnsi="Arial" w:cs="Arial"/>
          <w:sz w:val="24"/>
          <w:szCs w:val="24"/>
        </w:rPr>
        <w:t>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оценка налоговых расходов муниципального образования -комплекс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оценка объемов налоговых расходов муниципального образования -определение объемов выпадающих доходов бюджетов муниципального образования, обусловленных льготами, предоставленными плательщикам;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паспорт налогового расхода муниципального образования -документ,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перечень налоговых расходов муниципального образования -документ,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</w:t>
      </w:r>
      <w:r w:rsidRPr="00BB695F">
        <w:rPr>
          <w:rFonts w:ascii="Arial" w:hAnsi="Arial" w:cs="Arial"/>
          <w:sz w:val="24"/>
          <w:szCs w:val="24"/>
        </w:rPr>
        <w:lastRenderedPageBreak/>
        <w:t>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плательщики- плательщики налогов;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социальные налоговые расходы муниципального образования -целевая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стимулирующие налоговые расходы муниципального образования -целевая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технические налоговые расходы муниципального образования -целевая категория налоговых расходов муниципального образования,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бюджета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задекларированных ими для уплаты в бюджете муниципального образования, а также иные характеристики, предусмотренные </w:t>
      </w:r>
      <w:hyperlink w:anchor="Par133" w:history="1">
        <w:r w:rsidRPr="00BB695F">
          <w:rPr>
            <w:rFonts w:ascii="Arial" w:hAnsi="Arial" w:cs="Arial"/>
            <w:sz w:val="24"/>
            <w:szCs w:val="24"/>
          </w:rPr>
          <w:t>приложением</w:t>
        </w:r>
      </w:hyperlink>
      <w:r w:rsidRPr="00BB695F">
        <w:rPr>
          <w:rFonts w:ascii="Arial" w:hAnsi="Arial" w:cs="Arial"/>
          <w:sz w:val="24"/>
          <w:szCs w:val="24"/>
        </w:rPr>
        <w:t>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целевые характеристики налоговых расходов муниципального образования - 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BB695F">
          <w:rPr>
            <w:rFonts w:ascii="Arial" w:hAnsi="Arial" w:cs="Arial"/>
            <w:sz w:val="24"/>
            <w:szCs w:val="24"/>
          </w:rPr>
          <w:t>приложением</w:t>
        </w:r>
      </w:hyperlink>
      <w:r w:rsidRPr="00BB695F">
        <w:rPr>
          <w:rFonts w:ascii="Arial" w:hAnsi="Arial" w:cs="Arial"/>
          <w:sz w:val="24"/>
          <w:szCs w:val="24"/>
        </w:rPr>
        <w:t>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695F">
        <w:rPr>
          <w:rFonts w:ascii="Arial" w:hAnsi="Arial" w:cs="Arial"/>
          <w:b/>
          <w:sz w:val="28"/>
          <w:szCs w:val="28"/>
        </w:rPr>
        <w:t>II. Порядок формирования перечня налоговых расходов муниципального образования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62"/>
      <w:bookmarkEnd w:id="1"/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3. Проект перечня налоговых расходов муниципального образования на очередной финансовый год и плановый период (далее - проект перечня налоговых расходов) формируется администрацией ежегодно до 25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ar63"/>
      <w:bookmarkEnd w:id="2"/>
      <w:r w:rsidRPr="00BB695F">
        <w:rPr>
          <w:rFonts w:ascii="Arial" w:hAnsi="Arial" w:cs="Arial"/>
          <w:sz w:val="24"/>
          <w:szCs w:val="24"/>
        </w:rPr>
        <w:t xml:space="preserve">4. Органы и организации, указанные в </w:t>
      </w:r>
      <w:hyperlink w:anchor="Par62" w:history="1">
        <w:r w:rsidRPr="00BB695F">
          <w:rPr>
            <w:rFonts w:ascii="Arial" w:hAnsi="Arial" w:cs="Arial"/>
            <w:sz w:val="24"/>
            <w:szCs w:val="24"/>
          </w:rPr>
          <w:t>3</w:t>
        </w:r>
      </w:hyperlink>
      <w:r w:rsidRPr="00BB695F">
        <w:rPr>
          <w:rFonts w:ascii="Arial" w:hAnsi="Arial" w:cs="Arial"/>
          <w:sz w:val="24"/>
          <w:szCs w:val="24"/>
        </w:rPr>
        <w:t xml:space="preserve"> настоящего Порядка рассматривают проект перечня налоговых расходов на предмет предлагаемого определения кураторов налоговых расходов, а также формируют целевые характеристики налоговых расходов  в соответствии с приложением.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 Замечания и (или) предложения по формированию и (или) уточнению проекта перечня налоговых расходов ежегодно до 10 </w:t>
      </w:r>
      <w:proofErr w:type="gramStart"/>
      <w:r w:rsidRPr="00BB695F">
        <w:rPr>
          <w:rFonts w:ascii="Arial" w:hAnsi="Arial" w:cs="Arial"/>
          <w:sz w:val="24"/>
          <w:szCs w:val="24"/>
        </w:rPr>
        <w:t>апреля  направляется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в органы местного самоуправления.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В случае если указанные замечания содержат </w:t>
      </w:r>
      <w:proofErr w:type="gramStart"/>
      <w:r w:rsidRPr="00BB695F">
        <w:rPr>
          <w:rFonts w:ascii="Arial" w:hAnsi="Arial" w:cs="Arial"/>
          <w:sz w:val="24"/>
          <w:szCs w:val="24"/>
        </w:rPr>
        <w:t>предложения  по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изменению куратора налогового расхода, они подлежат согласованию с предлагаемым куратором налогового расхода, которое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lastRenderedPageBreak/>
        <w:t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в срок до 20 апреля текущего года.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Разногласия, не урегулированные по результатам таких совещаний в срок до 30 апреля текущего года, рассматриваются Главой </w:t>
      </w:r>
      <w:r>
        <w:rPr>
          <w:rFonts w:ascii="Arial" w:hAnsi="Arial" w:cs="Arial"/>
          <w:sz w:val="24"/>
          <w:szCs w:val="24"/>
        </w:rPr>
        <w:t>поселка</w:t>
      </w:r>
      <w:r w:rsidRPr="00BB695F">
        <w:rPr>
          <w:rFonts w:ascii="Arial" w:hAnsi="Arial" w:cs="Arial"/>
          <w:sz w:val="24"/>
          <w:szCs w:val="24"/>
        </w:rPr>
        <w:t>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5. В срок, не позднее 7 рабочих дней после завершения процедур, установленных в пункте 4 настоящего Порядка, перечень налоговых расходов муниципального образования размещается на официальном сайте муниципальном образовании «</w:t>
      </w:r>
      <w:r>
        <w:rPr>
          <w:rFonts w:ascii="Arial" w:hAnsi="Arial" w:cs="Arial"/>
          <w:sz w:val="24"/>
          <w:szCs w:val="24"/>
        </w:rPr>
        <w:t>поселок Теткино</w:t>
      </w:r>
      <w:r w:rsidRPr="00BB695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6.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BB695F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BB695F">
        <w:rPr>
          <w:rFonts w:ascii="Arial" w:hAnsi="Arial" w:cs="Arial"/>
          <w:sz w:val="24"/>
          <w:szCs w:val="24"/>
        </w:rPr>
        <w:t>3 настоящего Порядка,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7. Перечень налоговых расходов муниципального образования с внесенными в него изменениями формируется до 1 октября текущего финансового года (в случае уточнения структурных элементов муниципальных программ муниципального образования в рамках формирования проекта решения о местном бюджете на очередной финансовый год и плановый период) и до 15 декабря (в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период).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695F">
        <w:rPr>
          <w:rFonts w:ascii="Arial" w:hAnsi="Arial" w:cs="Arial"/>
          <w:b/>
          <w:sz w:val="28"/>
          <w:szCs w:val="28"/>
        </w:rPr>
        <w:t>III. Порядок оценки налоговых расходов муниципального образования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8. Методики оценки эффективности налоговых расходов </w:t>
      </w:r>
      <w:r w:rsidRPr="00BB695F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BB695F">
        <w:rPr>
          <w:rFonts w:ascii="Arial" w:hAnsi="Arial" w:cs="Arial"/>
          <w:sz w:val="24"/>
          <w:szCs w:val="24"/>
        </w:rPr>
        <w:t xml:space="preserve"> разрабатываются кураторами налоговых расходов и утверждаются по согласованию с администрацией.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9. Оценка эффективности налоговых расходов </w:t>
      </w:r>
      <w:r w:rsidRPr="00BB695F">
        <w:rPr>
          <w:rFonts w:ascii="Arial" w:hAnsi="Arial" w:cs="Arial"/>
          <w:bCs/>
          <w:sz w:val="24"/>
          <w:szCs w:val="24"/>
        </w:rPr>
        <w:t>муниципального образования осуществляется куратором налоговых расходов и включает: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а) оценку целесообразности налоговых расходов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б) оценку результативности налоговых расходов муниципального образования.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bookmarkStart w:id="3" w:name="Par80"/>
      <w:bookmarkEnd w:id="3"/>
      <w:r w:rsidRPr="00BB695F">
        <w:rPr>
          <w:rFonts w:ascii="Arial" w:hAnsi="Arial" w:cs="Arial"/>
          <w:sz w:val="24"/>
          <w:szCs w:val="24"/>
        </w:rPr>
        <w:t>10. Критериями целесообразности налоговых расходов муниципального образования являются: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б) востребованность предоставленных льгот у плательщиков налога,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11. Налоговый расходов муниципального образования должен соответствовать обоим критериям целесообразности, указанных в </w:t>
      </w:r>
      <w:hyperlink w:anchor="Par80" w:history="1">
        <w:r w:rsidRPr="00BB695F">
          <w:rPr>
            <w:rFonts w:ascii="Arial" w:hAnsi="Arial" w:cs="Arial"/>
            <w:sz w:val="24"/>
            <w:szCs w:val="24"/>
          </w:rPr>
          <w:t>пункте 10</w:t>
        </w:r>
      </w:hyperlink>
      <w:r w:rsidRPr="00BB695F">
        <w:rPr>
          <w:rFonts w:ascii="Arial" w:hAnsi="Arial" w:cs="Arial"/>
          <w:sz w:val="24"/>
          <w:szCs w:val="24"/>
        </w:rPr>
        <w:t xml:space="preserve"> настоящего Порядка. В случае несоответствия налоговых расходов муниципального образования хотя бы одному </w:t>
      </w:r>
      <w:proofErr w:type="gramStart"/>
      <w:r w:rsidRPr="00BB695F">
        <w:rPr>
          <w:rFonts w:ascii="Arial" w:hAnsi="Arial" w:cs="Arial"/>
          <w:sz w:val="24"/>
          <w:szCs w:val="24"/>
        </w:rPr>
        <w:t>из критерий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, куратору налогового </w:t>
      </w:r>
      <w:r w:rsidRPr="00BB695F">
        <w:rPr>
          <w:rFonts w:ascii="Arial" w:hAnsi="Arial" w:cs="Arial"/>
          <w:sz w:val="24"/>
          <w:szCs w:val="24"/>
        </w:rPr>
        <w:lastRenderedPageBreak/>
        <w:t>расхода надлежит представить в администрацию предложения о сохранении, уточнении либо отмене льгот для плательщиков.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12. Критерия оценки результативности налогового расхода муниципального образования являются: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а) оценка вклада налоговой льготы, обуславливающей налоговый расход, в изменение </w:t>
      </w:r>
      <w:proofErr w:type="gramStart"/>
      <w:r w:rsidRPr="00BB695F">
        <w:rPr>
          <w:rFonts w:ascii="Arial" w:hAnsi="Arial" w:cs="Arial"/>
          <w:sz w:val="24"/>
          <w:szCs w:val="24"/>
        </w:rPr>
        <w:t>значения  показателя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(индикатора), достижения целей муниципальных программ и (или) целей  социально- экономической политики;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б) оценка бюджетной эффективности;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в) оценка совокупного бюджетного эффекта (для стимулирующих налоговых расходов).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13. В качестве критерия оценки результативности налогового расхода муниципального образования определяется как минимум один показатель (индикатор) достижения </w:t>
      </w:r>
      <w:proofErr w:type="gramStart"/>
      <w:r w:rsidRPr="00BB695F">
        <w:rPr>
          <w:rFonts w:ascii="Arial" w:hAnsi="Arial" w:cs="Arial"/>
          <w:sz w:val="24"/>
          <w:szCs w:val="24"/>
        </w:rPr>
        <w:t>целей  муниципальных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программ муниципального образования и (или)  целей социально - 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оказывается влияние налоговых расходов муниципального образования.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муниципальных программ муниципального образования и (или) целей социально- 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14.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муниципального образования и (или) целей социально- экономической политики муниципального образования, не относящихся к муниципальным программам муниципального образования, а также оценка совокупности бюджетного эффекта (самоокупаемости) стимулирующих налоговые расходы муниципального образования.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15. Сравнительный анализ включает сопоставление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16. В целях оценка бюджетной эффективности стимулирующих налоговых расходов муниципального образования, обусловленных льготами по налогу на </w:t>
      </w:r>
      <w:r w:rsidRPr="00BB695F">
        <w:rPr>
          <w:rFonts w:ascii="Arial" w:hAnsi="Arial" w:cs="Arial"/>
          <w:sz w:val="24"/>
          <w:szCs w:val="24"/>
        </w:rPr>
        <w:lastRenderedPageBreak/>
        <w:t xml:space="preserve">прибыль </w:t>
      </w:r>
      <w:proofErr w:type="gramStart"/>
      <w:r w:rsidRPr="00BB695F">
        <w:rPr>
          <w:rFonts w:ascii="Arial" w:hAnsi="Arial" w:cs="Arial"/>
          <w:sz w:val="24"/>
          <w:szCs w:val="24"/>
        </w:rPr>
        <w:t>организаций  и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налогу на имущество организаций , наряду со сравнительным анализом, указанным в пункте 15 настоящего Порядка, рекомендуется рассчитывать оценку совокупного бюджетного эффекта (самоокупаемости) указанных налоговых расходов муниципального образования в соответствии с  18 настоящего Порядка. Показатель оценки </w:t>
      </w:r>
      <w:proofErr w:type="gramStart"/>
      <w:r w:rsidRPr="00BB695F">
        <w:rPr>
          <w:rFonts w:ascii="Arial" w:hAnsi="Arial" w:cs="Arial"/>
          <w:sz w:val="24"/>
          <w:szCs w:val="24"/>
        </w:rPr>
        <w:t>совокупного  бюджетного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17. Оценка совокупного бюджетного эффекта (самоокупаемости) стимулирующих налоговых расходов муниципального образования определяется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18. Оценка совокупного бюджетного эффекта (самоокупаемости) стимулирующих налоговых расходов муниципального образования (Е) </w:t>
      </w:r>
      <w:proofErr w:type="gramStart"/>
      <w:r w:rsidRPr="00BB695F">
        <w:rPr>
          <w:rFonts w:ascii="Arial" w:hAnsi="Arial" w:cs="Arial"/>
          <w:sz w:val="24"/>
          <w:szCs w:val="24"/>
        </w:rPr>
        <w:t>определяется  за</w:t>
      </w:r>
      <w:proofErr w:type="gramEnd"/>
      <w:r w:rsidRPr="00BB695F">
        <w:rPr>
          <w:rFonts w:ascii="Arial" w:hAnsi="Arial" w:cs="Arial"/>
          <w:sz w:val="24"/>
          <w:szCs w:val="24"/>
        </w:rPr>
        <w:t xml:space="preserve"> период с начала действия для плательщиков соответствующих льгот или за 5 отчетных лет, если указанные льготы действуют более 6 лет на день проведения оценки эффективности налоговых расходов муниципального образования (E) по следующей формуле: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noProof/>
          <w:position w:val="-25"/>
          <w:sz w:val="24"/>
          <w:szCs w:val="24"/>
        </w:rPr>
        <w:drawing>
          <wp:inline distT="0" distB="0" distL="0" distR="0">
            <wp:extent cx="201930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где: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i - порядковый номер года, имеющий значение от 1 до 5;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z w:val="24"/>
          <w:szCs w:val="24"/>
        </w:rPr>
        <w:t>m</w:t>
      </w:r>
      <w:r w:rsidRPr="00BB695F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BB695F">
        <w:rPr>
          <w:rFonts w:ascii="Arial" w:hAnsi="Arial" w:cs="Arial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j - порядковый номер плательщика, имеющий значение от 1 до m;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z w:val="24"/>
          <w:szCs w:val="24"/>
        </w:rPr>
        <w:t>N</w:t>
      </w:r>
      <w:r w:rsidRPr="00BB695F">
        <w:rPr>
          <w:rFonts w:ascii="Arial" w:hAnsi="Arial" w:cs="Arial"/>
          <w:sz w:val="24"/>
          <w:szCs w:val="24"/>
          <w:vertAlign w:val="subscript"/>
        </w:rPr>
        <w:t>ij</w:t>
      </w:r>
      <w:proofErr w:type="spellEnd"/>
      <w:r w:rsidRPr="00BB695F">
        <w:rPr>
          <w:rFonts w:ascii="Arial" w:hAnsi="Arial" w:cs="Arial"/>
          <w:sz w:val="24"/>
          <w:szCs w:val="24"/>
        </w:rPr>
        <w:t xml:space="preserve"> - объем налогов, сборов, задекларированных получателями налоговых расходов в бюджет муници</w:t>
      </w:r>
      <w:r>
        <w:rPr>
          <w:rFonts w:ascii="Arial" w:hAnsi="Arial" w:cs="Arial"/>
          <w:sz w:val="24"/>
          <w:szCs w:val="24"/>
        </w:rPr>
        <w:t>пального образования поселка Теткино</w:t>
      </w:r>
      <w:r w:rsidRPr="00BB695F">
        <w:rPr>
          <w:rFonts w:ascii="Arial" w:hAnsi="Arial" w:cs="Arial"/>
          <w:sz w:val="24"/>
          <w:szCs w:val="24"/>
        </w:rPr>
        <w:t xml:space="preserve"> j-м плательщиком в i-м году.</w:t>
      </w:r>
    </w:p>
    <w:p w:rsidR="00BB695F" w:rsidRPr="00BB695F" w:rsidRDefault="00BB695F" w:rsidP="00BB695F">
      <w:pPr>
        <w:shd w:val="clear" w:color="auto" w:fill="FFFFFF"/>
        <w:tabs>
          <w:tab w:val="left" w:pos="5376"/>
          <w:tab w:val="left" w:pos="7123"/>
        </w:tabs>
        <w:spacing w:after="0" w:line="240" w:lineRule="auto"/>
        <w:ind w:left="58" w:right="19"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При определении объема налогов, задекларированных для уплаты в 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бюджете муниципального образования </w:t>
      </w:r>
      <w:r w:rsidRPr="00BB695F">
        <w:rPr>
          <w:rFonts w:ascii="Arial" w:hAnsi="Arial" w:cs="Arial"/>
          <w:spacing w:val="-4"/>
          <w:sz w:val="24"/>
          <w:szCs w:val="24"/>
        </w:rPr>
        <w:t xml:space="preserve">плательщиками, </w:t>
      </w:r>
      <w:r w:rsidRPr="00BB695F">
        <w:rPr>
          <w:rFonts w:ascii="Arial" w:hAnsi="Arial" w:cs="Arial"/>
          <w:sz w:val="24"/>
          <w:szCs w:val="24"/>
        </w:rPr>
        <w:t>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режимов, и земельному налогу.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0"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В случае если на день проведения оценки совокупного бюджетного </w:t>
      </w:r>
      <w:r w:rsidRPr="00BB695F">
        <w:rPr>
          <w:rFonts w:ascii="Arial" w:hAnsi="Arial" w:cs="Arial"/>
          <w:spacing w:val="-2"/>
          <w:sz w:val="24"/>
          <w:szCs w:val="24"/>
        </w:rPr>
        <w:t>эффекта (самоокупаемости) стимулирующих налоговых расходов муниципального образования</w:t>
      </w:r>
      <w:r w:rsidRPr="00BB695F">
        <w:rPr>
          <w:rFonts w:ascii="Arial" w:hAnsi="Arial" w:cs="Arial"/>
          <w:sz w:val="24"/>
          <w:szCs w:val="24"/>
        </w:rPr>
        <w:t xml:space="preserve"> льготы действуют менее 6 лет, объемы налогов, подлежащих уплате в бюджете муниц</w:t>
      </w:r>
      <w:r>
        <w:rPr>
          <w:rFonts w:ascii="Arial" w:hAnsi="Arial" w:cs="Arial"/>
          <w:sz w:val="24"/>
          <w:szCs w:val="24"/>
        </w:rPr>
        <w:t>ипального образования поселка</w:t>
      </w:r>
      <w:r w:rsidRPr="00BB695F">
        <w:rPr>
          <w:rFonts w:ascii="Arial" w:hAnsi="Arial" w:cs="Arial"/>
          <w:sz w:val="24"/>
          <w:szCs w:val="24"/>
        </w:rPr>
        <w:t>, оцениваются (прогнозируются) по данным кураторов налоговых расходов и администрации;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0" w:right="10"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pacing w:val="-1"/>
          <w:sz w:val="24"/>
          <w:szCs w:val="24"/>
          <w:lang w:val="en-US"/>
        </w:rPr>
        <w:t>Boj</w:t>
      </w:r>
      <w:proofErr w:type="spellEnd"/>
      <w:r w:rsidRPr="00BB695F">
        <w:rPr>
          <w:rFonts w:ascii="Arial" w:hAnsi="Arial" w:cs="Arial"/>
          <w:spacing w:val="-1"/>
          <w:sz w:val="24"/>
          <w:szCs w:val="24"/>
        </w:rPr>
        <w:t xml:space="preserve"> - базовый объем налогов, задекларированных для уплаты в 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бюджет муниципального </w:t>
      </w:r>
      <w:proofErr w:type="gramStart"/>
      <w:r w:rsidRPr="00BB695F">
        <w:rPr>
          <w:rFonts w:ascii="Arial" w:hAnsi="Arial" w:cs="Arial"/>
          <w:spacing w:val="-2"/>
          <w:sz w:val="24"/>
          <w:szCs w:val="24"/>
        </w:rPr>
        <w:t xml:space="preserve">образования  </w:t>
      </w:r>
      <w:r w:rsidRPr="00BB695F">
        <w:rPr>
          <w:rFonts w:ascii="Arial" w:hAnsi="Arial" w:cs="Arial"/>
          <w:spacing w:val="-2"/>
          <w:sz w:val="24"/>
          <w:szCs w:val="24"/>
          <w:lang w:val="en-US"/>
        </w:rPr>
        <w:t>j</w:t>
      </w:r>
      <w:proofErr w:type="gramEnd"/>
      <w:r w:rsidRPr="00BB695F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BB695F">
        <w:rPr>
          <w:rFonts w:ascii="Arial" w:hAnsi="Arial" w:cs="Arial"/>
          <w:sz w:val="24"/>
          <w:szCs w:val="24"/>
        </w:rPr>
        <w:t>году;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0" w:firstLine="993"/>
        <w:jc w:val="both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z w:val="24"/>
          <w:szCs w:val="24"/>
          <w:lang w:val="en-US"/>
        </w:rPr>
        <w:t>gi</w:t>
      </w:r>
      <w:proofErr w:type="spellEnd"/>
      <w:r w:rsidRPr="00BB695F">
        <w:rPr>
          <w:rFonts w:ascii="Arial" w:hAnsi="Arial" w:cs="Arial"/>
          <w:sz w:val="24"/>
          <w:szCs w:val="24"/>
        </w:rPr>
        <w:t xml:space="preserve"> - номинальный темп прироста налоговых доходов </w:t>
      </w:r>
      <w:proofErr w:type="gramStart"/>
      <w:r w:rsidRPr="00BB695F">
        <w:rPr>
          <w:rFonts w:ascii="Arial" w:hAnsi="Arial" w:cs="Arial"/>
          <w:sz w:val="24"/>
          <w:szCs w:val="24"/>
        </w:rPr>
        <w:t>бюджета  муниц</w:t>
      </w:r>
      <w:r>
        <w:rPr>
          <w:rFonts w:ascii="Arial" w:hAnsi="Arial" w:cs="Arial"/>
          <w:sz w:val="24"/>
          <w:szCs w:val="24"/>
        </w:rPr>
        <w:t>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</w:t>
      </w:r>
      <w:r w:rsidRPr="00BB695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B695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B695F">
        <w:rPr>
          <w:rFonts w:ascii="Arial" w:hAnsi="Arial" w:cs="Arial"/>
          <w:sz w:val="24"/>
          <w:szCs w:val="24"/>
        </w:rPr>
        <w:t>-м году по отношению к показателям базового года.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0" w:right="10"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г - расчетная стоимость среднесрочных рыночных заимствований муниципального образования, рассчитываемая по формуле: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4013" w:firstLine="993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19"/>
          <w:sz w:val="24"/>
          <w:szCs w:val="24"/>
        </w:rPr>
        <w:t xml:space="preserve">г = </w:t>
      </w:r>
      <w:proofErr w:type="spellStart"/>
      <w:r w:rsidRPr="00BB695F">
        <w:rPr>
          <w:rFonts w:ascii="Arial" w:hAnsi="Arial" w:cs="Arial"/>
          <w:spacing w:val="-19"/>
          <w:sz w:val="24"/>
          <w:szCs w:val="24"/>
          <w:lang w:val="en-US"/>
        </w:rPr>
        <w:t>i</w:t>
      </w:r>
      <w:proofErr w:type="spellEnd"/>
      <w:r w:rsidRPr="00BB695F">
        <w:rPr>
          <w:rFonts w:ascii="Arial" w:hAnsi="Arial" w:cs="Arial"/>
          <w:spacing w:val="-19"/>
          <w:sz w:val="24"/>
          <w:szCs w:val="24"/>
        </w:rPr>
        <w:t xml:space="preserve"> </w:t>
      </w:r>
      <w:r w:rsidRPr="00BB695F">
        <w:rPr>
          <w:rFonts w:ascii="Arial" w:hAnsi="Arial" w:cs="Arial"/>
          <w:spacing w:val="-19"/>
          <w:sz w:val="24"/>
          <w:szCs w:val="24"/>
          <w:vertAlign w:val="subscript"/>
        </w:rPr>
        <w:t>инф</w:t>
      </w:r>
      <w:r w:rsidRPr="00BB695F">
        <w:rPr>
          <w:rFonts w:ascii="Arial" w:hAnsi="Arial" w:cs="Arial"/>
          <w:spacing w:val="-19"/>
          <w:sz w:val="24"/>
          <w:szCs w:val="24"/>
        </w:rPr>
        <w:t xml:space="preserve"> + р + с,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7"/>
          <w:sz w:val="24"/>
          <w:szCs w:val="24"/>
        </w:rPr>
        <w:t>где: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pacing w:val="-6"/>
          <w:sz w:val="24"/>
          <w:szCs w:val="24"/>
          <w:lang w:val="en-US"/>
        </w:rPr>
        <w:t>i</w:t>
      </w:r>
      <w:proofErr w:type="spellEnd"/>
      <w:r w:rsidRPr="00BB695F">
        <w:rPr>
          <w:rFonts w:ascii="Arial" w:hAnsi="Arial" w:cs="Arial"/>
          <w:spacing w:val="-6"/>
          <w:sz w:val="24"/>
          <w:szCs w:val="24"/>
        </w:rPr>
        <w:t xml:space="preserve"> </w:t>
      </w:r>
      <w:r w:rsidRPr="00BB695F">
        <w:rPr>
          <w:rFonts w:ascii="Arial" w:hAnsi="Arial" w:cs="Arial"/>
          <w:spacing w:val="-6"/>
          <w:sz w:val="24"/>
          <w:szCs w:val="24"/>
          <w:vertAlign w:val="subscript"/>
        </w:rPr>
        <w:t>инф</w:t>
      </w:r>
      <w:r w:rsidRPr="00BB695F">
        <w:rPr>
          <w:rFonts w:ascii="Arial" w:hAnsi="Arial" w:cs="Arial"/>
          <w:spacing w:val="-6"/>
          <w:sz w:val="24"/>
          <w:szCs w:val="24"/>
        </w:rPr>
        <w:t>- целевой уровень инфляции (4 процента);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0"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р - реальная процентная ставка, определяемая на уровне 2,5 процента;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0"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с - кредитная премия за риск, рассчитываемая для целей настоящего документа в зависимости от отношения государственного долга муниципального </w:t>
      </w:r>
      <w:r w:rsidRPr="00BB695F">
        <w:rPr>
          <w:rFonts w:ascii="Arial" w:hAnsi="Arial" w:cs="Arial"/>
          <w:sz w:val="24"/>
          <w:szCs w:val="24"/>
        </w:rPr>
        <w:lastRenderedPageBreak/>
        <w:t>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9"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в случае если указанное отношение составляет менее 50 процентов, кредитная премия за риск принимается равной 1 проценту;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9"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>в случае если указанное отношение составляет от 50 до 100 процентов, кредитная премия за риск принимается равной 2 процентам;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1"/>
          <w:sz w:val="24"/>
          <w:szCs w:val="24"/>
        </w:rPr>
        <w:t xml:space="preserve">в случае если указанное отношение составляет более 100 процентов, </w:t>
      </w:r>
      <w:r w:rsidRPr="00BB695F">
        <w:rPr>
          <w:rFonts w:ascii="Arial" w:hAnsi="Arial" w:cs="Arial"/>
          <w:sz w:val="24"/>
          <w:szCs w:val="24"/>
        </w:rPr>
        <w:t>кредитная премия за риск принимается равной 3 процентам.</w:t>
      </w:r>
    </w:p>
    <w:p w:rsidR="00BB695F" w:rsidRPr="00BB695F" w:rsidRDefault="00BB695F" w:rsidP="00BB695F">
      <w:pPr>
        <w:shd w:val="clear" w:color="auto" w:fill="FFFFFF"/>
        <w:tabs>
          <w:tab w:val="left" w:pos="1286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8"/>
          <w:sz w:val="24"/>
          <w:szCs w:val="24"/>
        </w:rPr>
        <w:t>19.</w:t>
      </w:r>
      <w:r w:rsidRPr="00BB695F">
        <w:rPr>
          <w:rFonts w:ascii="Arial" w:hAnsi="Arial" w:cs="Arial"/>
          <w:sz w:val="24"/>
          <w:szCs w:val="24"/>
        </w:rPr>
        <w:t xml:space="preserve"> Базовый объем налогов, задекларированных для уплаты в</w:t>
      </w:r>
      <w:r w:rsidRPr="00BB695F">
        <w:rPr>
          <w:rFonts w:ascii="Arial" w:hAnsi="Arial" w:cs="Arial"/>
          <w:sz w:val="24"/>
          <w:szCs w:val="24"/>
        </w:rPr>
        <w:br/>
      </w:r>
      <w:r w:rsidRPr="00BB695F">
        <w:rPr>
          <w:rFonts w:ascii="Arial" w:hAnsi="Arial" w:cs="Arial"/>
          <w:spacing w:val="-2"/>
          <w:sz w:val="24"/>
          <w:szCs w:val="24"/>
        </w:rPr>
        <w:t>бюджет муници</w:t>
      </w:r>
      <w:r>
        <w:rPr>
          <w:rFonts w:ascii="Arial" w:hAnsi="Arial" w:cs="Arial"/>
          <w:spacing w:val="-2"/>
          <w:sz w:val="24"/>
          <w:szCs w:val="24"/>
        </w:rPr>
        <w:t>пального образования  поселка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 </w:t>
      </w:r>
      <w:r w:rsidRPr="00BB695F">
        <w:rPr>
          <w:rFonts w:ascii="Arial" w:hAnsi="Arial" w:cs="Arial"/>
          <w:spacing w:val="-2"/>
          <w:sz w:val="24"/>
          <w:szCs w:val="24"/>
          <w:lang w:val="en-US"/>
        </w:rPr>
        <w:t>j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BB695F">
        <w:rPr>
          <w:rFonts w:ascii="Arial" w:hAnsi="Arial" w:cs="Arial"/>
          <w:sz w:val="24"/>
          <w:szCs w:val="24"/>
        </w:rPr>
        <w:t>году (</w:t>
      </w:r>
      <w:r w:rsidRPr="00BB695F">
        <w:rPr>
          <w:rFonts w:ascii="Arial" w:hAnsi="Arial" w:cs="Arial"/>
          <w:sz w:val="24"/>
          <w:szCs w:val="24"/>
          <w:lang w:val="en-US"/>
        </w:rPr>
        <w:t>B</w:t>
      </w:r>
      <w:r w:rsidRPr="00BB695F">
        <w:rPr>
          <w:rFonts w:ascii="Arial" w:hAnsi="Arial" w:cs="Arial"/>
          <w:sz w:val="24"/>
          <w:szCs w:val="24"/>
          <w:vertAlign w:val="subscript"/>
        </w:rPr>
        <w:t>0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</w:rPr>
        <w:t>), рассчитывается по формуле: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mallCaps/>
          <w:spacing w:val="-22"/>
          <w:sz w:val="24"/>
          <w:szCs w:val="24"/>
          <w:lang w:val="en-US"/>
        </w:rPr>
        <w:t>B</w:t>
      </w:r>
      <w:r w:rsidRPr="00BB695F">
        <w:rPr>
          <w:rFonts w:ascii="Arial" w:hAnsi="Arial" w:cs="Arial"/>
          <w:sz w:val="24"/>
          <w:szCs w:val="24"/>
          <w:vertAlign w:val="subscript"/>
        </w:rPr>
        <w:t>0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  <w:vertAlign w:val="superscript"/>
        </w:rPr>
        <w:t xml:space="preserve"> =</w:t>
      </w:r>
      <w:r w:rsidRPr="00BB695F">
        <w:rPr>
          <w:rFonts w:ascii="Arial" w:hAnsi="Arial" w:cs="Arial"/>
          <w:sz w:val="24"/>
          <w:szCs w:val="24"/>
        </w:rPr>
        <w:t xml:space="preserve"> </w:t>
      </w:r>
      <w:r w:rsidRPr="00BB695F">
        <w:rPr>
          <w:rFonts w:ascii="Arial" w:hAnsi="Arial" w:cs="Arial"/>
          <w:sz w:val="24"/>
          <w:szCs w:val="24"/>
          <w:lang w:val="en-US"/>
        </w:rPr>
        <w:t>N</w:t>
      </w:r>
      <w:r w:rsidRPr="00BB695F">
        <w:rPr>
          <w:rFonts w:ascii="Arial" w:hAnsi="Arial" w:cs="Arial"/>
          <w:sz w:val="24"/>
          <w:szCs w:val="24"/>
          <w:vertAlign w:val="subscript"/>
        </w:rPr>
        <w:t>0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</w:rPr>
        <w:t xml:space="preserve"> + </w:t>
      </w:r>
      <w:r w:rsidRPr="00BB695F">
        <w:rPr>
          <w:rFonts w:ascii="Arial" w:hAnsi="Arial" w:cs="Arial"/>
          <w:sz w:val="24"/>
          <w:szCs w:val="24"/>
          <w:lang w:val="en-US"/>
        </w:rPr>
        <w:t>L</w:t>
      </w:r>
      <w:r w:rsidRPr="00BB695F">
        <w:rPr>
          <w:rFonts w:ascii="Arial" w:hAnsi="Arial" w:cs="Arial"/>
          <w:sz w:val="24"/>
          <w:szCs w:val="24"/>
          <w:vertAlign w:val="subscript"/>
        </w:rPr>
        <w:t>0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</w:rPr>
        <w:t>,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720" w:firstLine="993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7"/>
          <w:sz w:val="24"/>
          <w:szCs w:val="24"/>
        </w:rPr>
        <w:t>где: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9" w:firstLine="993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  <w:lang w:val="en-US"/>
        </w:rPr>
        <w:t>N</w:t>
      </w:r>
      <w:r w:rsidRPr="00BB695F">
        <w:rPr>
          <w:rFonts w:ascii="Arial" w:hAnsi="Arial" w:cs="Arial"/>
          <w:sz w:val="24"/>
          <w:szCs w:val="24"/>
          <w:vertAlign w:val="subscript"/>
        </w:rPr>
        <w:t>0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</w:rPr>
        <w:t xml:space="preserve"> - объем налогов, задекларированных для уплаты в </w:t>
      </w:r>
      <w:r w:rsidRPr="00BB695F">
        <w:rPr>
          <w:rFonts w:ascii="Arial" w:hAnsi="Arial" w:cs="Arial"/>
          <w:spacing w:val="-2"/>
          <w:sz w:val="24"/>
          <w:szCs w:val="24"/>
        </w:rPr>
        <w:t>бюджет муници</w:t>
      </w:r>
      <w:r>
        <w:rPr>
          <w:rFonts w:ascii="Arial" w:hAnsi="Arial" w:cs="Arial"/>
          <w:spacing w:val="-2"/>
          <w:sz w:val="24"/>
          <w:szCs w:val="24"/>
        </w:rPr>
        <w:t xml:space="preserve">пального </w:t>
      </w:r>
      <w:proofErr w:type="gramStart"/>
      <w:r>
        <w:rPr>
          <w:rFonts w:ascii="Arial" w:hAnsi="Arial" w:cs="Arial"/>
          <w:spacing w:val="-2"/>
          <w:sz w:val="24"/>
          <w:szCs w:val="24"/>
        </w:rPr>
        <w:t>образования  поселка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 </w:t>
      </w:r>
      <w:r w:rsidRPr="00BB695F">
        <w:rPr>
          <w:rFonts w:ascii="Arial" w:hAnsi="Arial" w:cs="Arial"/>
          <w:spacing w:val="-2"/>
          <w:sz w:val="24"/>
          <w:szCs w:val="24"/>
          <w:lang w:val="en-US"/>
        </w:rPr>
        <w:t>j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-м плательщиком в базовом </w:t>
      </w:r>
      <w:r w:rsidRPr="00BB695F">
        <w:rPr>
          <w:rFonts w:ascii="Arial" w:hAnsi="Arial" w:cs="Arial"/>
          <w:sz w:val="24"/>
          <w:szCs w:val="24"/>
        </w:rPr>
        <w:t>году;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710" w:firstLine="993"/>
        <w:rPr>
          <w:rFonts w:ascii="Arial" w:hAnsi="Arial" w:cs="Arial"/>
          <w:sz w:val="24"/>
          <w:szCs w:val="24"/>
        </w:rPr>
      </w:pPr>
      <w:proofErr w:type="spellStart"/>
      <w:r w:rsidRPr="00BB695F">
        <w:rPr>
          <w:rFonts w:ascii="Arial" w:hAnsi="Arial" w:cs="Arial"/>
          <w:spacing w:val="-3"/>
          <w:sz w:val="24"/>
          <w:szCs w:val="24"/>
          <w:lang w:val="en-US"/>
        </w:rPr>
        <w:t>Loj</w:t>
      </w:r>
      <w:proofErr w:type="spellEnd"/>
      <w:r w:rsidRPr="00BB695F">
        <w:rPr>
          <w:rFonts w:ascii="Arial" w:hAnsi="Arial" w:cs="Arial"/>
          <w:spacing w:val="-3"/>
          <w:sz w:val="24"/>
          <w:szCs w:val="24"/>
        </w:rPr>
        <w:t xml:space="preserve"> - объем льгот, предоставленных </w:t>
      </w:r>
      <w:r w:rsidRPr="00BB695F">
        <w:rPr>
          <w:rFonts w:ascii="Arial" w:hAnsi="Arial" w:cs="Arial"/>
          <w:spacing w:val="-3"/>
          <w:sz w:val="24"/>
          <w:szCs w:val="24"/>
          <w:lang w:val="en-US"/>
        </w:rPr>
        <w:t>j</w:t>
      </w:r>
      <w:r w:rsidRPr="00BB695F">
        <w:rPr>
          <w:rFonts w:ascii="Arial" w:hAnsi="Arial" w:cs="Arial"/>
          <w:spacing w:val="-3"/>
          <w:sz w:val="24"/>
          <w:szCs w:val="24"/>
        </w:rPr>
        <w:t>-му плательщику в базовом году.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left="10" w:firstLine="112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Под базовым годом в настоящем документе понимается год, предшествующий году начала получения </w:t>
      </w:r>
      <w:r w:rsidRPr="00BB695F">
        <w:rPr>
          <w:rFonts w:ascii="Arial" w:hAnsi="Arial" w:cs="Arial"/>
          <w:sz w:val="24"/>
          <w:szCs w:val="24"/>
          <w:lang w:val="en-US"/>
        </w:rPr>
        <w:t>j</w:t>
      </w:r>
      <w:r w:rsidRPr="00BB695F">
        <w:rPr>
          <w:rFonts w:ascii="Arial" w:hAnsi="Arial" w:cs="Arial"/>
          <w:sz w:val="24"/>
          <w:szCs w:val="24"/>
        </w:rPr>
        <w:t>-м плательщиком льготы, либо 6-ой год, предшествующий отчетному году, если льгота предоставляется плательщику более 6 лет.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9" w:firstLine="112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10"/>
          <w:sz w:val="24"/>
          <w:szCs w:val="24"/>
        </w:rPr>
        <w:t>20.</w:t>
      </w:r>
      <w:r w:rsidRPr="00BB695F">
        <w:rPr>
          <w:rFonts w:ascii="Arial" w:hAnsi="Arial" w:cs="Arial"/>
          <w:sz w:val="24"/>
          <w:szCs w:val="24"/>
        </w:rPr>
        <w:t xml:space="preserve"> Куратор налогового расхода в рамках методики оценки эффективности налогового расхода муниципального образования вправе предусматривать дополнительные критерии оценки бюджетной эффективности налогового расхода муниципального образования</w:t>
      </w:r>
    </w:p>
    <w:p w:rsidR="00BB695F" w:rsidRPr="00BB695F" w:rsidRDefault="00BB695F" w:rsidP="00BB695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BB695F" w:rsidRPr="00BB695F" w:rsidRDefault="00BB695F" w:rsidP="00BB69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BB695F">
        <w:rPr>
          <w:rFonts w:ascii="Arial" w:hAnsi="Arial" w:cs="Arial"/>
          <w:b/>
          <w:bCs/>
          <w:spacing w:val="-2"/>
          <w:sz w:val="28"/>
          <w:szCs w:val="28"/>
          <w:lang w:val="en-US"/>
        </w:rPr>
        <w:t>IV</w:t>
      </w:r>
      <w:r w:rsidRPr="00BB695F">
        <w:rPr>
          <w:rFonts w:ascii="Arial" w:hAnsi="Arial" w:cs="Arial"/>
          <w:b/>
          <w:bCs/>
          <w:spacing w:val="-2"/>
          <w:sz w:val="28"/>
          <w:szCs w:val="28"/>
        </w:rPr>
        <w:t xml:space="preserve">. Порядок обобщения результатов оценки эффективности </w:t>
      </w:r>
      <w:r w:rsidRPr="00BB695F">
        <w:rPr>
          <w:rFonts w:ascii="Arial" w:hAnsi="Arial" w:cs="Arial"/>
          <w:b/>
          <w:bCs/>
          <w:spacing w:val="-1"/>
          <w:sz w:val="28"/>
          <w:szCs w:val="28"/>
        </w:rPr>
        <w:t>налоговых расходов муниципального образования</w:t>
      </w:r>
    </w:p>
    <w:p w:rsidR="00BB695F" w:rsidRPr="00BB695F" w:rsidRDefault="00BB695F" w:rsidP="00BB695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213C03" w:rsidRDefault="00BB695F" w:rsidP="00BB695F">
      <w:pPr>
        <w:shd w:val="clear" w:color="auto" w:fill="FFFFFF"/>
        <w:tabs>
          <w:tab w:val="left" w:pos="118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695F">
        <w:rPr>
          <w:rFonts w:ascii="Arial" w:hAnsi="Arial" w:cs="Arial"/>
          <w:spacing w:val="-7"/>
          <w:sz w:val="24"/>
          <w:szCs w:val="24"/>
        </w:rPr>
        <w:t>21.</w:t>
      </w:r>
      <w:r w:rsidRPr="00BB695F">
        <w:rPr>
          <w:rFonts w:ascii="Arial" w:hAnsi="Arial" w:cs="Arial"/>
          <w:sz w:val="24"/>
          <w:szCs w:val="24"/>
        </w:rPr>
        <w:t xml:space="preserve"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о вкладе </w:t>
      </w:r>
      <w:r w:rsidRPr="00BB695F">
        <w:rPr>
          <w:rFonts w:ascii="Arial" w:hAnsi="Arial" w:cs="Arial"/>
          <w:spacing w:val="-1"/>
          <w:sz w:val="24"/>
          <w:szCs w:val="24"/>
        </w:rPr>
        <w:t xml:space="preserve">налогового расхода </w:t>
      </w:r>
      <w:r w:rsidRPr="00BB695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695F">
        <w:rPr>
          <w:rFonts w:ascii="Arial" w:hAnsi="Arial" w:cs="Arial"/>
          <w:spacing w:val="-1"/>
          <w:sz w:val="24"/>
          <w:szCs w:val="24"/>
        </w:rPr>
        <w:t>в достижение целей муниципальных программ муниципального образования</w:t>
      </w:r>
      <w:r w:rsidRPr="00BB695F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 результативных альтернативных механизмов достижения целей </w:t>
      </w:r>
      <w:r w:rsidRPr="00213C03">
        <w:rPr>
          <w:rFonts w:ascii="Arial" w:hAnsi="Arial" w:cs="Arial"/>
          <w:sz w:val="24"/>
          <w:szCs w:val="24"/>
        </w:rPr>
        <w:t>муниципальных программам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BB695F" w:rsidRPr="00BB695F" w:rsidRDefault="00BB695F" w:rsidP="00BB695F">
      <w:pPr>
        <w:shd w:val="clear" w:color="auto" w:fill="FFFFFF"/>
        <w:spacing w:after="0" w:line="240" w:lineRule="auto"/>
        <w:ind w:right="10" w:firstLine="1134"/>
        <w:jc w:val="both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 xml:space="preserve">Паспорта налоговых расходов муниципального образования с результатами оценки эффективности налоговых расходов муниципального </w:t>
      </w:r>
      <w:proofErr w:type="gramStart"/>
      <w:r w:rsidRPr="00213C03">
        <w:rPr>
          <w:rFonts w:ascii="Arial" w:hAnsi="Arial" w:cs="Arial"/>
          <w:sz w:val="24"/>
          <w:szCs w:val="24"/>
        </w:rPr>
        <w:t>образования ,выводы</w:t>
      </w:r>
      <w:proofErr w:type="gramEnd"/>
      <w:r w:rsidRPr="00213C03">
        <w:rPr>
          <w:rFonts w:ascii="Arial" w:hAnsi="Arial" w:cs="Arial"/>
          <w:sz w:val="24"/>
          <w:szCs w:val="24"/>
        </w:rPr>
        <w:t>, указанные в пункте 21 настоящего Порядка, а также предложения о необходимости сохранения</w:t>
      </w:r>
      <w:r w:rsidRPr="00BB695F">
        <w:rPr>
          <w:rFonts w:ascii="Arial" w:hAnsi="Arial" w:cs="Arial"/>
          <w:sz w:val="24"/>
          <w:szCs w:val="24"/>
        </w:rPr>
        <w:t>, уточнения или отмены предоставленных плательщикам льгот, направляются кураторами налоговых расходов в администрацию.</w:t>
      </w:r>
    </w:p>
    <w:p w:rsidR="00BB695F" w:rsidRPr="00BB695F" w:rsidRDefault="00BB695F" w:rsidP="00BB695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pacing w:val="-10"/>
          <w:sz w:val="24"/>
          <w:szCs w:val="24"/>
        </w:rPr>
      </w:pPr>
      <w:r w:rsidRPr="00BB695F">
        <w:rPr>
          <w:rFonts w:ascii="Arial" w:hAnsi="Arial" w:cs="Arial"/>
          <w:sz w:val="24"/>
          <w:szCs w:val="24"/>
        </w:rPr>
        <w:t xml:space="preserve">22.Результаты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</w:t>
      </w:r>
      <w:r w:rsidRPr="00BB695F">
        <w:rPr>
          <w:rFonts w:ascii="Arial" w:hAnsi="Arial" w:cs="Arial"/>
          <w:spacing w:val="-2"/>
          <w:sz w:val="24"/>
          <w:szCs w:val="24"/>
        </w:rPr>
        <w:t xml:space="preserve">проведении оценки эффективности реализации муниципальных программ </w:t>
      </w:r>
      <w:r w:rsidRPr="00BB695F">
        <w:rPr>
          <w:rFonts w:ascii="Arial" w:hAnsi="Arial" w:cs="Arial"/>
          <w:sz w:val="24"/>
          <w:szCs w:val="24"/>
        </w:rPr>
        <w:t>муниципального образования.</w:t>
      </w:r>
    </w:p>
    <w:p w:rsidR="00BB695F" w:rsidRPr="00BB695F" w:rsidRDefault="00BB695F" w:rsidP="00BB695F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pacing w:val="-10"/>
          <w:sz w:val="24"/>
          <w:szCs w:val="24"/>
        </w:rPr>
      </w:pPr>
      <w:r w:rsidRPr="00BB695F">
        <w:rPr>
          <w:rFonts w:ascii="Arial" w:hAnsi="Arial" w:cs="Arial"/>
          <w:spacing w:val="-2"/>
          <w:sz w:val="24"/>
          <w:szCs w:val="24"/>
        </w:rPr>
        <w:t xml:space="preserve">23.Информация о налоговых расходах муниципального образования </w:t>
      </w:r>
      <w:proofErr w:type="gramStart"/>
      <w:r w:rsidRPr="00BB695F">
        <w:rPr>
          <w:rFonts w:ascii="Arial" w:hAnsi="Arial" w:cs="Arial"/>
          <w:spacing w:val="-2"/>
          <w:sz w:val="24"/>
          <w:szCs w:val="24"/>
        </w:rPr>
        <w:t xml:space="preserve">размещается </w:t>
      </w:r>
      <w:r w:rsidRPr="00BB695F">
        <w:rPr>
          <w:rFonts w:ascii="Arial" w:hAnsi="Arial" w:cs="Arial"/>
          <w:spacing w:val="-1"/>
          <w:sz w:val="24"/>
          <w:szCs w:val="24"/>
        </w:rPr>
        <w:t xml:space="preserve"> на</w:t>
      </w:r>
      <w:proofErr w:type="gramEnd"/>
      <w:r w:rsidRPr="00BB695F">
        <w:rPr>
          <w:rFonts w:ascii="Arial" w:hAnsi="Arial" w:cs="Arial"/>
          <w:spacing w:val="-1"/>
          <w:sz w:val="24"/>
          <w:szCs w:val="24"/>
        </w:rPr>
        <w:t xml:space="preserve"> офиц</w:t>
      </w:r>
      <w:r w:rsidR="00213C03">
        <w:rPr>
          <w:rFonts w:ascii="Arial" w:hAnsi="Arial" w:cs="Arial"/>
          <w:spacing w:val="-1"/>
          <w:sz w:val="24"/>
          <w:szCs w:val="24"/>
        </w:rPr>
        <w:t>иальном сайте Администрации поселка Теткино Глушковского</w:t>
      </w:r>
      <w:r w:rsidRPr="00BB695F">
        <w:rPr>
          <w:rFonts w:ascii="Arial" w:hAnsi="Arial" w:cs="Arial"/>
          <w:spacing w:val="-1"/>
          <w:sz w:val="24"/>
          <w:szCs w:val="24"/>
        </w:rPr>
        <w:t xml:space="preserve"> района </w:t>
      </w:r>
      <w:r w:rsidRPr="00BB695F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«Интернет».</w:t>
      </w: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95F" w:rsidRPr="00BB695F" w:rsidRDefault="00BB695F" w:rsidP="00BB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>Приложение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>к Порядку формирования перечня налоговых расходов</w:t>
      </w:r>
    </w:p>
    <w:p w:rsid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поселок Теткино» 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Глушковского </w:t>
      </w:r>
      <w:r w:rsidRPr="00213C03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213C03">
        <w:rPr>
          <w:rFonts w:ascii="Arial" w:hAnsi="Arial" w:cs="Arial"/>
          <w:sz w:val="24"/>
          <w:szCs w:val="24"/>
        </w:rPr>
        <w:t xml:space="preserve"> Курской области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>и оценки налоговых расходов</w:t>
      </w:r>
    </w:p>
    <w:p w:rsid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3C03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поселок Теткино»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Глушковского</w:t>
      </w:r>
      <w:r w:rsidRPr="00213C0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Par133"/>
      <w:bookmarkEnd w:id="4"/>
      <w:r w:rsidRPr="00213C03">
        <w:rPr>
          <w:rFonts w:ascii="Arial" w:hAnsi="Arial" w:cs="Arial"/>
          <w:b/>
          <w:sz w:val="28"/>
          <w:szCs w:val="28"/>
        </w:rPr>
        <w:t xml:space="preserve">Перечень информации, включаемой в паспорт налогового расхода муниципального образования </w:t>
      </w:r>
      <w:r>
        <w:rPr>
          <w:rFonts w:ascii="Arial" w:hAnsi="Arial" w:cs="Arial"/>
          <w:b/>
          <w:sz w:val="28"/>
          <w:szCs w:val="28"/>
        </w:rPr>
        <w:t xml:space="preserve">поселок Теткино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Глушковского </w:t>
      </w:r>
      <w:r w:rsidRPr="00213C03">
        <w:rPr>
          <w:rFonts w:ascii="Arial" w:hAnsi="Arial" w:cs="Arial"/>
          <w:b/>
          <w:sz w:val="28"/>
          <w:szCs w:val="28"/>
        </w:rPr>
        <w:t xml:space="preserve"> района</w:t>
      </w:r>
      <w:proofErr w:type="gramEnd"/>
      <w:r w:rsidRPr="00213C03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213C03" w:rsidRPr="00213C03" w:rsidRDefault="00213C03" w:rsidP="00213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2806"/>
      </w:tblGrid>
      <w:tr w:rsidR="00213C03" w:rsidRPr="00213C03" w:rsidTr="00D16205">
        <w:trPr>
          <w:trHeight w:val="324"/>
        </w:trPr>
        <w:tc>
          <w:tcPr>
            <w:tcW w:w="6408" w:type="dxa"/>
            <w:gridSpan w:val="2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  <w:tr w:rsidR="00213C03" w:rsidRPr="00213C03" w:rsidTr="00D16205">
        <w:trPr>
          <w:trHeight w:val="320"/>
        </w:trPr>
        <w:tc>
          <w:tcPr>
            <w:tcW w:w="9214" w:type="dxa"/>
            <w:gridSpan w:val="3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I. Нормативные характеристики налогового расхода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поселок Теткино</w:t>
            </w:r>
            <w:r w:rsidRPr="00213C03">
              <w:rPr>
                <w:rFonts w:ascii="Arial" w:hAnsi="Arial" w:cs="Arial"/>
                <w:sz w:val="24"/>
                <w:szCs w:val="24"/>
              </w:rPr>
              <w:t>» (далее-налоговый расход)</w:t>
            </w:r>
          </w:p>
        </w:tc>
      </w:tr>
      <w:tr w:rsidR="00213C03" w:rsidRPr="00213C03" w:rsidTr="00D16205">
        <w:trPr>
          <w:trHeight w:val="790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213C03" w:rsidRPr="00213C03" w:rsidTr="00D16205">
        <w:trPr>
          <w:trHeight w:val="749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710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1124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312"/>
        </w:trPr>
        <w:tc>
          <w:tcPr>
            <w:tcW w:w="9214" w:type="dxa"/>
            <w:gridSpan w:val="3"/>
            <w:vAlign w:val="center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213C03" w:rsidRPr="00213C03" w:rsidTr="00D16205">
        <w:trPr>
          <w:trHeight w:val="493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Цели предоставления налоговых расходов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3006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 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213C03" w:rsidRPr="00213C03" w:rsidTr="00D16205">
        <w:trPr>
          <w:trHeight w:val="1588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213C03" w:rsidRPr="00213C03" w:rsidTr="00D16205">
        <w:trPr>
          <w:trHeight w:val="2434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2571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3024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в на текущий финансовый год, очередной финансовый год и плановый период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213C03" w:rsidRPr="00213C03" w:rsidTr="00D16205">
        <w:trPr>
          <w:trHeight w:val="624"/>
        </w:trPr>
        <w:tc>
          <w:tcPr>
            <w:tcW w:w="9214" w:type="dxa"/>
            <w:gridSpan w:val="3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213C03" w:rsidRPr="00213C03" w:rsidTr="00D16205">
        <w:trPr>
          <w:trHeight w:val="1324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бюджета, администрация</w:t>
            </w:r>
          </w:p>
        </w:tc>
      </w:tr>
      <w:tr w:rsidR="00213C03" w:rsidRPr="00213C03" w:rsidTr="00D16205">
        <w:trPr>
          <w:trHeight w:val="1447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13C03" w:rsidRPr="00213C03" w:rsidTr="00D16205">
        <w:trPr>
          <w:trHeight w:val="1082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Численность плательщиков налогов в отчетном финансовому году (единиц)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213C03" w:rsidRPr="00213C03" w:rsidTr="00D16205">
        <w:trPr>
          <w:trHeight w:val="1108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«</w:t>
            </w:r>
            <w:proofErr w:type="spellStart"/>
            <w:r w:rsidRPr="00213C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13C03">
              <w:rPr>
                <w:rFonts w:ascii="Arial" w:hAnsi="Arial" w:cs="Arial"/>
                <w:sz w:val="24"/>
                <w:szCs w:val="24"/>
              </w:rPr>
              <w:t xml:space="preserve"> сельсовет» плательщиками налогов, сборов по видам налога (тыс. рублей)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213C03" w:rsidRPr="00213C03" w:rsidTr="00D16205">
        <w:trPr>
          <w:trHeight w:val="1920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Объем налогов, задекларированный для уплаты в уплаты в бюджет муниципального образования «</w:t>
            </w:r>
            <w:proofErr w:type="spellStart"/>
            <w:r w:rsidRPr="00213C03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13C03">
              <w:rPr>
                <w:rFonts w:ascii="Arial" w:hAnsi="Arial" w:cs="Arial"/>
                <w:sz w:val="24"/>
                <w:szCs w:val="24"/>
              </w:rPr>
              <w:t xml:space="preserve"> сельсовет» плательщиками налогов, 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213C03" w:rsidRPr="00213C03" w:rsidTr="00D16205">
        <w:trPr>
          <w:trHeight w:val="1185"/>
        </w:trPr>
        <w:tc>
          <w:tcPr>
            <w:tcW w:w="50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899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806" w:type="dxa"/>
          </w:tcPr>
          <w:p w:rsidR="00213C03" w:rsidRPr="00213C03" w:rsidRDefault="00213C03" w:rsidP="0021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3C03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</w:tbl>
    <w:p w:rsidR="00213C03" w:rsidRPr="00213C03" w:rsidRDefault="00213C03" w:rsidP="00213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95F" w:rsidRDefault="00BB695F" w:rsidP="00CC76CB">
      <w:pPr>
        <w:widowControl w:val="0"/>
        <w:spacing w:after="0" w:line="326" w:lineRule="exact"/>
        <w:ind w:right="4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BB695F" w:rsidRDefault="00BB695F" w:rsidP="00CC76CB">
      <w:pPr>
        <w:widowControl w:val="0"/>
        <w:spacing w:after="0" w:line="326" w:lineRule="exact"/>
        <w:ind w:right="4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BB695F" w:rsidRDefault="00BB695F" w:rsidP="00CC76CB">
      <w:pPr>
        <w:widowControl w:val="0"/>
        <w:spacing w:after="0" w:line="326" w:lineRule="exact"/>
        <w:ind w:right="4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BB695F" w:rsidRDefault="00BB695F" w:rsidP="00CC76CB">
      <w:pPr>
        <w:widowControl w:val="0"/>
        <w:spacing w:after="0" w:line="326" w:lineRule="exact"/>
        <w:ind w:right="4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BB695F" w:rsidRDefault="00BB695F" w:rsidP="00CC76CB">
      <w:pPr>
        <w:widowControl w:val="0"/>
        <w:spacing w:after="0" w:line="326" w:lineRule="exact"/>
        <w:ind w:right="40"/>
        <w:jc w:val="center"/>
        <w:rPr>
          <w:rFonts w:ascii="Times New Roman" w:hAnsi="Times New Roman"/>
          <w:sz w:val="28"/>
          <w:szCs w:val="28"/>
          <w:lang w:bidi="ru-RU"/>
        </w:rPr>
      </w:pPr>
    </w:p>
    <w:sectPr w:rsidR="00BB695F" w:rsidSect="00EA04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BAB"/>
    <w:multiLevelType w:val="multilevel"/>
    <w:tmpl w:val="EA508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95A27"/>
    <w:multiLevelType w:val="multilevel"/>
    <w:tmpl w:val="AF30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C0709"/>
    <w:multiLevelType w:val="multilevel"/>
    <w:tmpl w:val="1E260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57"/>
    <w:rsid w:val="00213C03"/>
    <w:rsid w:val="00263280"/>
    <w:rsid w:val="00953891"/>
    <w:rsid w:val="00BB695F"/>
    <w:rsid w:val="00BF1767"/>
    <w:rsid w:val="00CC76CB"/>
    <w:rsid w:val="00D11F57"/>
    <w:rsid w:val="00E46058"/>
    <w:rsid w:val="00EA04D2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55A6"/>
  <w15:chartTrackingRefBased/>
  <w15:docId w15:val="{B9B8EF5A-2F07-4758-9AFE-C318BDBF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F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D11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1F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F57"/>
    <w:pPr>
      <w:widowControl w:val="0"/>
      <w:shd w:val="clear" w:color="auto" w:fill="FFFFFF"/>
      <w:spacing w:after="60" w:line="413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11F57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rsid w:val="00CC76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C76CB"/>
    <w:pPr>
      <w:widowControl w:val="0"/>
      <w:shd w:val="clear" w:color="auto" w:fill="FFFFFF"/>
      <w:spacing w:before="900" w:after="0" w:line="317" w:lineRule="exact"/>
      <w:ind w:hanging="1020"/>
      <w:jc w:val="center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F50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2020-02-04T13:29:00Z</cp:lastPrinted>
  <dcterms:created xsi:type="dcterms:W3CDTF">2020-02-04T12:04:00Z</dcterms:created>
  <dcterms:modified xsi:type="dcterms:W3CDTF">2020-02-04T13:35:00Z</dcterms:modified>
</cp:coreProperties>
</file>