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26" w:type="dxa"/>
        <w:tblLayout w:type="fixed"/>
        <w:tblLook w:val="04A0" w:firstRow="1" w:lastRow="0" w:firstColumn="1" w:lastColumn="0" w:noHBand="0" w:noVBand="1"/>
      </w:tblPr>
      <w:tblGrid>
        <w:gridCol w:w="750"/>
        <w:gridCol w:w="2562"/>
        <w:gridCol w:w="2217"/>
        <w:gridCol w:w="2774"/>
        <w:gridCol w:w="2562"/>
        <w:gridCol w:w="1423"/>
        <w:gridCol w:w="750"/>
        <w:gridCol w:w="750"/>
        <w:gridCol w:w="750"/>
        <w:gridCol w:w="140"/>
        <w:gridCol w:w="610"/>
        <w:gridCol w:w="38"/>
      </w:tblGrid>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4"/>
                <w:szCs w:val="24"/>
                <w:lang w:eastAsia="ru-RU"/>
              </w:rPr>
            </w:pPr>
            <w:bookmarkStart w:id="0" w:name="RANGE!A1:L61"/>
            <w:bookmarkEnd w:id="0"/>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3000" w:type="dxa"/>
            <w:gridSpan w:val="5"/>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УТВЕРЖДЕН</w:t>
            </w:r>
          </w:p>
        </w:tc>
      </w:tr>
      <w:tr w:rsidR="00324FA7" w:rsidRPr="00324FA7" w:rsidTr="00324FA7">
        <w:trPr>
          <w:gridAfter w:val="1"/>
          <w:wAfter w:w="38" w:type="dxa"/>
          <w:trHeight w:val="255"/>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center"/>
              <w:rPr>
                <w:rFonts w:ascii="Times New Roman" w:eastAsia="Times New Roman" w:hAnsi="Times New Roman" w:cs="Times New Roman"/>
                <w:color w:val="000000"/>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6985" w:type="dxa"/>
            <w:gridSpan w:val="7"/>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Постановлением Администрации</w:t>
            </w:r>
          </w:p>
        </w:tc>
      </w:tr>
      <w:tr w:rsidR="00324FA7" w:rsidRPr="00324FA7" w:rsidTr="00324FA7">
        <w:trPr>
          <w:gridAfter w:val="1"/>
          <w:wAfter w:w="38" w:type="dxa"/>
          <w:trHeight w:val="255"/>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right"/>
              <w:rPr>
                <w:rFonts w:ascii="Times New Roman" w:eastAsia="Times New Roman" w:hAnsi="Times New Roman" w:cs="Times New Roman"/>
                <w:color w:val="000000"/>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6985" w:type="dxa"/>
            <w:gridSpan w:val="7"/>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поселка Теткино Глушковского района</w:t>
            </w: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right"/>
              <w:rPr>
                <w:rFonts w:ascii="Times New Roman" w:eastAsia="Times New Roman" w:hAnsi="Times New Roman" w:cs="Times New Roman"/>
                <w:color w:val="000000"/>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4423" w:type="dxa"/>
            <w:gridSpan w:val="6"/>
            <w:tcBorders>
              <w:top w:val="nil"/>
              <w:left w:val="nil"/>
              <w:bottom w:val="nil"/>
              <w:right w:val="nil"/>
            </w:tcBorders>
            <w:shd w:val="clear" w:color="auto" w:fill="auto"/>
            <w:noWrap/>
            <w:vAlign w:val="bottom"/>
            <w:hideMark/>
          </w:tcPr>
          <w:p w:rsidR="00324FA7" w:rsidRPr="005A3B66" w:rsidRDefault="005A3B66" w:rsidP="00324FA7">
            <w:pPr>
              <w:spacing w:after="0" w:line="240" w:lineRule="auto"/>
              <w:jc w:val="center"/>
              <w:rPr>
                <w:rFonts w:ascii="Arial" w:eastAsia="Times New Roman" w:hAnsi="Arial" w:cs="Arial"/>
                <w:color w:val="000000"/>
                <w:sz w:val="24"/>
                <w:szCs w:val="24"/>
                <w:u w:val="single"/>
                <w:lang w:eastAsia="ru-RU"/>
              </w:rPr>
            </w:pPr>
            <w:r w:rsidRPr="005A3B66">
              <w:rPr>
                <w:rFonts w:ascii="Arial" w:eastAsia="Times New Roman" w:hAnsi="Arial" w:cs="Arial"/>
                <w:color w:val="000000"/>
                <w:sz w:val="24"/>
                <w:szCs w:val="24"/>
                <w:u w:val="single"/>
                <w:lang w:eastAsia="ru-RU"/>
              </w:rPr>
              <w:t>от "30"  марта  2020 г. № 40</w:t>
            </w: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center"/>
              <w:rPr>
                <w:rFonts w:ascii="Times New Roman" w:eastAsia="Times New Roman" w:hAnsi="Times New Roman" w:cs="Times New Roman"/>
                <w:color w:val="000000"/>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  </w:t>
            </w: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trHeight w:val="315"/>
        </w:trPr>
        <w:tc>
          <w:tcPr>
            <w:tcW w:w="15326" w:type="dxa"/>
            <w:gridSpan w:val="12"/>
            <w:tcBorders>
              <w:top w:val="nil"/>
              <w:left w:val="nil"/>
              <w:bottom w:val="nil"/>
              <w:right w:val="nil"/>
            </w:tcBorders>
            <w:shd w:val="clear" w:color="auto" w:fill="auto"/>
            <w:noWrap/>
            <w:vAlign w:val="center"/>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 xml:space="preserve"> ПЛАН МЕРОПРИЯТИЙ</w:t>
            </w:r>
          </w:p>
        </w:tc>
      </w:tr>
      <w:tr w:rsidR="00324FA7" w:rsidRPr="00324FA7" w:rsidTr="00324FA7">
        <w:trPr>
          <w:trHeight w:val="930"/>
        </w:trPr>
        <w:tc>
          <w:tcPr>
            <w:tcW w:w="15326" w:type="dxa"/>
            <w:gridSpan w:val="12"/>
            <w:tcBorders>
              <w:top w:val="nil"/>
              <w:left w:val="nil"/>
              <w:bottom w:val="nil"/>
              <w:right w:val="nil"/>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по росту доходного потенциала и оптимизации расходов бюджета</w:t>
            </w:r>
            <w:r w:rsidRPr="00324FA7">
              <w:rPr>
                <w:rFonts w:ascii="Arial" w:eastAsia="Times New Roman" w:hAnsi="Arial" w:cs="Arial"/>
                <w:b/>
                <w:bCs/>
                <w:color w:val="000000"/>
                <w:sz w:val="24"/>
                <w:szCs w:val="24"/>
                <w:lang w:eastAsia="ru-RU"/>
              </w:rPr>
              <w:br/>
              <w:t xml:space="preserve"> АДМИНИСТРАЦИИ ПОСЕЛКА ТЕТКИНО ГЛУШКОВСКОГО РАЙОНА</w:t>
            </w:r>
          </w:p>
        </w:tc>
      </w:tr>
      <w:tr w:rsidR="00324FA7" w:rsidRPr="00324FA7" w:rsidTr="00324FA7">
        <w:trPr>
          <w:gridAfter w:val="1"/>
          <w:wAfter w:w="38" w:type="dxa"/>
          <w:trHeight w:val="285"/>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center"/>
              <w:rPr>
                <w:rFonts w:ascii="Times New Roman" w:eastAsia="Times New Roman" w:hAnsi="Times New Roman" w:cs="Times New Roman"/>
                <w:b/>
                <w:bCs/>
                <w:color w:val="000000"/>
                <w:sz w:val="32"/>
                <w:szCs w:val="32"/>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center"/>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960"/>
        </w:trPr>
        <w:tc>
          <w:tcPr>
            <w:tcW w:w="7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п/п</w:t>
            </w:r>
          </w:p>
        </w:tc>
        <w:tc>
          <w:tcPr>
            <w:tcW w:w="2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Наименование мероприятия</w:t>
            </w:r>
          </w:p>
        </w:tc>
        <w:tc>
          <w:tcPr>
            <w:tcW w:w="22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Способы реализации мероприятия</w:t>
            </w:r>
          </w:p>
        </w:tc>
        <w:tc>
          <w:tcPr>
            <w:tcW w:w="27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Исполнители, ответственные за реализацию мероприятия </w:t>
            </w:r>
          </w:p>
        </w:tc>
        <w:tc>
          <w:tcPr>
            <w:tcW w:w="25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Целевой показатель</w:t>
            </w:r>
          </w:p>
        </w:tc>
        <w:tc>
          <w:tcPr>
            <w:tcW w:w="1423" w:type="dxa"/>
            <w:vMerge w:val="restart"/>
            <w:tcBorders>
              <w:top w:val="single" w:sz="4" w:space="0" w:color="auto"/>
              <w:left w:val="single" w:sz="4" w:space="0" w:color="auto"/>
              <w:bottom w:val="single" w:sz="4" w:space="0" w:color="000000"/>
              <w:right w:val="nil"/>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Единицы измерения</w:t>
            </w:r>
          </w:p>
        </w:tc>
        <w:tc>
          <w:tcPr>
            <w:tcW w:w="3000" w:type="dxa"/>
            <w:gridSpan w:val="5"/>
            <w:tcBorders>
              <w:top w:val="single" w:sz="4" w:space="0" w:color="auto"/>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Значение целевого показателя (бюджетный эффект)</w:t>
            </w:r>
          </w:p>
        </w:tc>
      </w:tr>
      <w:tr w:rsidR="00324FA7" w:rsidRPr="00324FA7" w:rsidTr="00324FA7">
        <w:trPr>
          <w:gridAfter w:val="1"/>
          <w:wAfter w:w="38" w:type="dxa"/>
          <w:trHeight w:val="288"/>
        </w:trPr>
        <w:tc>
          <w:tcPr>
            <w:tcW w:w="750"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217"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single" w:sz="4" w:space="0" w:color="auto"/>
              <w:left w:val="single" w:sz="4" w:space="0" w:color="auto"/>
              <w:bottom w:val="single" w:sz="4" w:space="0" w:color="000000"/>
              <w:right w:val="nil"/>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2019 год</w:t>
            </w:r>
          </w:p>
        </w:tc>
        <w:tc>
          <w:tcPr>
            <w:tcW w:w="750"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2020 год</w:t>
            </w:r>
          </w:p>
        </w:tc>
        <w:tc>
          <w:tcPr>
            <w:tcW w:w="750"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2021 год</w:t>
            </w:r>
          </w:p>
        </w:tc>
        <w:tc>
          <w:tcPr>
            <w:tcW w:w="750"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2022 год</w:t>
            </w:r>
          </w:p>
        </w:tc>
      </w:tr>
      <w:tr w:rsidR="00324FA7" w:rsidRPr="00324FA7" w:rsidTr="00324FA7">
        <w:trPr>
          <w:gridAfter w:val="1"/>
          <w:wAfter w:w="38" w:type="dxa"/>
          <w:trHeight w:val="288"/>
        </w:trPr>
        <w:tc>
          <w:tcPr>
            <w:tcW w:w="750"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217"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single" w:sz="4" w:space="0" w:color="auto"/>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single" w:sz="4" w:space="0" w:color="auto"/>
              <w:left w:val="single" w:sz="4" w:space="0" w:color="auto"/>
              <w:bottom w:val="single" w:sz="4" w:space="0" w:color="000000"/>
              <w:right w:val="nil"/>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gridSpan w:val="2"/>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r>
      <w:tr w:rsidR="00324FA7" w:rsidRPr="00324FA7" w:rsidTr="00324FA7">
        <w:trPr>
          <w:trHeight w:val="288"/>
        </w:trPr>
        <w:tc>
          <w:tcPr>
            <w:tcW w:w="1532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I.                   Мероприятия по увеличению поступлений налоговых и неналоговых доходов Курской области</w:t>
            </w:r>
          </w:p>
        </w:tc>
      </w:tr>
      <w:tr w:rsidR="00324FA7" w:rsidRPr="00324FA7" w:rsidTr="00324FA7">
        <w:trPr>
          <w:gridAfter w:val="1"/>
          <w:wAfter w:w="38" w:type="dxa"/>
          <w:trHeight w:val="480"/>
        </w:trPr>
        <w:tc>
          <w:tcPr>
            <w:tcW w:w="750"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Повышение собираемости налогов и сокращение задолженности перед бюджетом   из них</w:t>
            </w:r>
          </w:p>
        </w:tc>
        <w:tc>
          <w:tcPr>
            <w:tcW w:w="2217"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2774"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во взаимодействии территориальными органами федеральных органов исполнительной власти в  области, правоохранительными органами (по согласованию)</w:t>
            </w:r>
          </w:p>
        </w:tc>
        <w:tc>
          <w:tcPr>
            <w:tcW w:w="2562" w:type="dxa"/>
            <w:vMerge w:val="restart"/>
            <w:tcBorders>
              <w:top w:val="nil"/>
              <w:left w:val="single" w:sz="4" w:space="0" w:color="auto"/>
              <w:bottom w:val="single" w:sz="4" w:space="0" w:color="000000"/>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Дополнительное поступление налогов</w:t>
            </w:r>
          </w:p>
        </w:tc>
        <w:tc>
          <w:tcPr>
            <w:tcW w:w="1423" w:type="dxa"/>
            <w:vMerge w:val="restart"/>
            <w:tcBorders>
              <w:top w:val="nil"/>
              <w:left w:val="single" w:sz="4" w:space="0" w:color="auto"/>
              <w:bottom w:val="single" w:sz="4" w:space="0" w:color="000000"/>
              <w:right w:val="nil"/>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350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545</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777</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720"/>
        </w:trPr>
        <w:tc>
          <w:tcPr>
            <w:tcW w:w="750"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повышение собираемости налога на имущество физических лиц и земельного налога и </w:t>
            </w:r>
            <w:r w:rsidR="005A3B66" w:rsidRPr="00324FA7">
              <w:rPr>
                <w:rFonts w:ascii="Arial" w:eastAsia="Times New Roman" w:hAnsi="Arial" w:cs="Arial"/>
                <w:color w:val="000000"/>
                <w:sz w:val="24"/>
                <w:szCs w:val="24"/>
                <w:lang w:eastAsia="ru-RU"/>
              </w:rPr>
              <w:t>обращение</w:t>
            </w:r>
            <w:r w:rsidRPr="00324FA7">
              <w:rPr>
                <w:rFonts w:ascii="Arial" w:eastAsia="Times New Roman" w:hAnsi="Arial" w:cs="Arial"/>
                <w:color w:val="000000"/>
                <w:sz w:val="24"/>
                <w:szCs w:val="24"/>
                <w:lang w:eastAsia="ru-RU"/>
              </w:rPr>
              <w:t xml:space="preserve"> задолженности перед бюджетом</w:t>
            </w:r>
          </w:p>
        </w:tc>
        <w:tc>
          <w:tcPr>
            <w:tcW w:w="2217"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nil"/>
              <w:left w:val="single" w:sz="4" w:space="0" w:color="auto"/>
              <w:bottom w:val="single" w:sz="4" w:space="0" w:color="000000"/>
              <w:right w:val="nil"/>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350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545</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777</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3360"/>
        </w:trPr>
        <w:tc>
          <w:tcPr>
            <w:tcW w:w="750"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5A3B66"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вовлечение</w:t>
            </w:r>
            <w:r w:rsidR="00324FA7" w:rsidRPr="00324FA7">
              <w:rPr>
                <w:rFonts w:ascii="Arial" w:eastAsia="Times New Roman" w:hAnsi="Arial" w:cs="Arial"/>
                <w:color w:val="000000"/>
                <w:sz w:val="24"/>
                <w:szCs w:val="24"/>
                <w:lang w:eastAsia="ru-RU"/>
              </w:rPr>
              <w:t xml:space="preserve"> в налоговый оборот объектов недвижимости, включая земельные участки, в том числе: уточнение сведений об объектах недвижимости; актуализация результатов государственной кадастровой оценки объектов </w:t>
            </w:r>
            <w:r w:rsidRPr="00324FA7">
              <w:rPr>
                <w:rFonts w:ascii="Arial" w:eastAsia="Times New Roman" w:hAnsi="Arial" w:cs="Arial"/>
                <w:color w:val="000000"/>
                <w:sz w:val="24"/>
                <w:szCs w:val="24"/>
                <w:lang w:eastAsia="ru-RU"/>
              </w:rPr>
              <w:t>недвижимости; предоставление</w:t>
            </w:r>
            <w:r w:rsidR="00324FA7" w:rsidRPr="00324FA7">
              <w:rPr>
                <w:rFonts w:ascii="Arial" w:eastAsia="Times New Roman" w:hAnsi="Arial" w:cs="Arial"/>
                <w:color w:val="000000"/>
                <w:sz w:val="24"/>
                <w:szCs w:val="24"/>
                <w:lang w:eastAsia="ru-RU"/>
              </w:rPr>
              <w:t xml:space="preserve"> сведений о земельных участках и иных объектах недвижимости в рамках информационного обмена; проведение муниципального земельного контроля. Выявление собственников земельных участков и другого недвижимого имущества и </w:t>
            </w:r>
            <w:r w:rsidR="00324FA7" w:rsidRPr="00324FA7">
              <w:rPr>
                <w:rFonts w:ascii="Arial" w:eastAsia="Times New Roman" w:hAnsi="Arial" w:cs="Arial"/>
                <w:color w:val="000000"/>
                <w:sz w:val="24"/>
                <w:szCs w:val="24"/>
                <w:lang w:eastAsia="ru-RU"/>
              </w:rPr>
              <w:lastRenderedPageBreak/>
              <w:t>привлечение их к налогообложению, содействие в оформлении прав собственности на земельные участки и имущество физическими лицами</w:t>
            </w:r>
          </w:p>
        </w:tc>
        <w:tc>
          <w:tcPr>
            <w:tcW w:w="2217"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nil"/>
              <w:left w:val="single" w:sz="4" w:space="0" w:color="auto"/>
              <w:bottom w:val="single" w:sz="4" w:space="0" w:color="000000"/>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nil"/>
              <w:left w:val="single" w:sz="4" w:space="0" w:color="auto"/>
              <w:bottom w:val="single" w:sz="4" w:space="0" w:color="000000"/>
              <w:right w:val="nil"/>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68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2</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Увеличение неналоговых доходов консолидированного бюджета за счет мобилизации административных штрафов.</w:t>
            </w:r>
            <w:r w:rsidRPr="00324FA7">
              <w:rPr>
                <w:rFonts w:ascii="Arial" w:eastAsia="Times New Roman" w:hAnsi="Arial" w:cs="Arial"/>
                <w:color w:val="000000"/>
                <w:sz w:val="24"/>
                <w:szCs w:val="24"/>
                <w:lang w:eastAsia="ru-RU"/>
              </w:rPr>
              <w:br/>
              <w:t>Установление ежегодного норматива по увеличению результатов от деятельности административных комиссий</w:t>
            </w:r>
          </w:p>
        </w:tc>
        <w:tc>
          <w:tcPr>
            <w:tcW w:w="2217"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Активизация работы административных комиссий, проведение сверки во взаимодействии со структурными подразделениями УФССП России по Курской области по оплате задолженности по штрафам</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Административно-правовой комитет Администрации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both"/>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Поступление штрафов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2856"/>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3</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мероприятий по установлению эффективных ставок арендной платы за сдаваемое в аренду имущество</w:t>
            </w:r>
          </w:p>
        </w:tc>
        <w:tc>
          <w:tcPr>
            <w:tcW w:w="2217"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сплошной инвентаризации имущества, находящегося в муниципальной собственности:</w:t>
            </w:r>
            <w:r w:rsidRPr="00324FA7">
              <w:rPr>
                <w:rFonts w:ascii="Arial" w:eastAsia="Times New Roman" w:hAnsi="Arial" w:cs="Arial"/>
                <w:color w:val="000000"/>
                <w:sz w:val="24"/>
                <w:szCs w:val="24"/>
                <w:lang w:eastAsia="ru-RU"/>
              </w:rPr>
              <w:br/>
              <w:t>- внедрение тотального учета государственного (муниципального) имущества;</w:t>
            </w:r>
            <w:r w:rsidRPr="00324FA7">
              <w:rPr>
                <w:rFonts w:ascii="Arial" w:eastAsia="Times New Roman" w:hAnsi="Arial" w:cs="Arial"/>
                <w:color w:val="000000"/>
                <w:sz w:val="24"/>
                <w:szCs w:val="24"/>
                <w:lang w:eastAsia="ru-RU"/>
              </w:rPr>
              <w:br/>
              <w:t>- выявление неиспользованного (бесхозяйного) и установление направления эффективности его использования;</w:t>
            </w:r>
            <w:r w:rsidRPr="00324FA7">
              <w:rPr>
                <w:rFonts w:ascii="Arial" w:eastAsia="Times New Roman" w:hAnsi="Arial" w:cs="Arial"/>
                <w:color w:val="000000"/>
                <w:sz w:val="24"/>
                <w:szCs w:val="24"/>
                <w:lang w:eastAsia="ru-RU"/>
              </w:rPr>
              <w:br/>
              <w:t xml:space="preserve">- определение и утверждение перечня сдаваемого в аренду имущества с целью увеличения доходов, получаемых в виде арендной платы или иной платы за сдачу </w:t>
            </w:r>
            <w:r w:rsidRPr="00324FA7">
              <w:rPr>
                <w:rFonts w:ascii="Arial" w:eastAsia="Times New Roman" w:hAnsi="Arial" w:cs="Arial"/>
                <w:color w:val="000000"/>
                <w:sz w:val="24"/>
                <w:szCs w:val="24"/>
                <w:lang w:eastAsia="ru-RU"/>
              </w:rPr>
              <w:lastRenderedPageBreak/>
              <w:t>во временное владение и пользование</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Дополнительное поступление доходов от сдачи в аренду земли </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792"/>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4</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мероприятий по эффективному использованию государственного имущества, закрепленного за муниципальными учреждениями</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  Реализация (продажа) излишнего, неиспользуемого имущества учреждений</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Рост доходов от реализации имущества</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428"/>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Результаты экономического развития области по результатам осуществления мероприятий по росту доходного потенциала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Реализация мероприятий по росту доходного потенциала</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w:t>
            </w:r>
          </w:p>
        </w:tc>
        <w:tc>
          <w:tcPr>
            <w:tcW w:w="2562" w:type="dxa"/>
            <w:tcBorders>
              <w:top w:val="nil"/>
              <w:left w:val="nil"/>
              <w:bottom w:val="nil"/>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Дополнительные поступления налоговых и неналоговых доходов (поступление доходов в отчетном финансовом году по сравнению с первоначально утвержденным объемом доходов)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100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50</w:t>
            </w:r>
          </w:p>
        </w:tc>
        <w:tc>
          <w:tcPr>
            <w:tcW w:w="750" w:type="dxa"/>
            <w:gridSpan w:val="2"/>
            <w:tcBorders>
              <w:top w:val="nil"/>
              <w:left w:val="nil"/>
              <w:bottom w:val="single" w:sz="4" w:space="0" w:color="auto"/>
              <w:right w:val="single" w:sz="4" w:space="0" w:color="auto"/>
            </w:tcBorders>
            <w:shd w:val="clear" w:color="auto" w:fill="auto"/>
            <w:noWrap/>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50</w:t>
            </w:r>
          </w:p>
        </w:tc>
      </w:tr>
      <w:tr w:rsidR="00324FA7" w:rsidRPr="00324FA7" w:rsidTr="00324FA7">
        <w:trPr>
          <w:gridAfter w:val="1"/>
          <w:wAfter w:w="38" w:type="dxa"/>
          <w:trHeight w:val="288"/>
        </w:trPr>
        <w:tc>
          <w:tcPr>
            <w:tcW w:w="750" w:type="dxa"/>
            <w:tcBorders>
              <w:top w:val="nil"/>
              <w:left w:val="single" w:sz="4" w:space="0" w:color="auto"/>
              <w:bottom w:val="single" w:sz="4" w:space="0" w:color="auto"/>
              <w:right w:val="nil"/>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2562"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ИТОГО ДОХОДЫ</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2562" w:type="dxa"/>
            <w:tcBorders>
              <w:top w:val="single" w:sz="4" w:space="0" w:color="auto"/>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100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50</w:t>
            </w:r>
          </w:p>
        </w:tc>
      </w:tr>
      <w:tr w:rsidR="00324FA7" w:rsidRPr="00324FA7" w:rsidTr="00324FA7">
        <w:trPr>
          <w:trHeight w:val="288"/>
        </w:trPr>
        <w:tc>
          <w:tcPr>
            <w:tcW w:w="1532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II. ПОКАЗАТЕЛИ СОЦИАЛЬНО-ЭКОНОМИЧЕСКОГО РАЗВИТИЯ</w:t>
            </w:r>
          </w:p>
        </w:tc>
      </w:tr>
      <w:tr w:rsidR="00324FA7" w:rsidRPr="00324FA7" w:rsidTr="00324FA7">
        <w:trPr>
          <w:gridAfter w:val="1"/>
          <w:wAfter w:w="38" w:type="dxa"/>
          <w:trHeight w:val="132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Обеспечение роста налоговых и неналоговых доходов бюджета субъекта Российской Федерации в текущем финансовом году по сравнению с уровнем истекшего финансового года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Выполнение мероприятий по консолидации бюджетных средств в целях оздоровления государственных финансов Курской области</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noWrap/>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trHeight w:val="288"/>
        </w:trPr>
        <w:tc>
          <w:tcPr>
            <w:tcW w:w="1532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III. МЕРОПРИЯТИЯ ПО ОПТИМИЗАЦИИ РАСХОДОВ</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w:t>
            </w:r>
          </w:p>
        </w:tc>
        <w:tc>
          <w:tcPr>
            <w:tcW w:w="13928" w:type="dxa"/>
            <w:gridSpan w:val="9"/>
            <w:tcBorders>
              <w:top w:val="single" w:sz="4" w:space="0" w:color="auto"/>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Повышение эффективности планирования и исполнения расходов</w:t>
            </w:r>
          </w:p>
        </w:tc>
        <w:tc>
          <w:tcPr>
            <w:tcW w:w="648" w:type="dxa"/>
            <w:gridSpan w:val="2"/>
            <w:tcBorders>
              <w:top w:val="nil"/>
              <w:left w:val="nil"/>
              <w:bottom w:val="single" w:sz="4" w:space="0" w:color="auto"/>
              <w:right w:val="single" w:sz="4" w:space="0" w:color="auto"/>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r>
      <w:tr w:rsidR="00324FA7" w:rsidRPr="00324FA7" w:rsidTr="00324FA7">
        <w:trPr>
          <w:gridAfter w:val="1"/>
          <w:wAfter w:w="38" w:type="dxa"/>
          <w:trHeight w:val="144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1.2</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Планирование бюджетов муниципальных программ (увеличение доли программных расходов)</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Разработка проектов решений о местных бюджетах на очередной финансовый год и на плановый период</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Доля расходов местных бюджетов, формируемых в рамках муниципальных программ, в общем объеме расходов местных бюджетов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80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80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80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1.3</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Уточнение долгосрочного бюджетного прогноза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проектов правовых актов</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финансов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Принятие правовых актов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gridAfter w:val="1"/>
          <w:wAfter w:w="38" w:type="dxa"/>
          <w:trHeight w:val="144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1.5</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sz w:val="24"/>
                <w:szCs w:val="24"/>
                <w:lang w:eastAsia="ru-RU"/>
              </w:rPr>
            </w:pPr>
            <w:r w:rsidRPr="00324FA7">
              <w:rPr>
                <w:rFonts w:ascii="Arial" w:eastAsia="Times New Roman" w:hAnsi="Arial" w:cs="Arial"/>
                <w:sz w:val="24"/>
                <w:szCs w:val="24"/>
                <w:lang w:eastAsia="ru-RU"/>
              </w:rPr>
              <w:t xml:space="preserve">Сохранение дефицита бюджета по годам в соответствии с заключенными </w:t>
            </w:r>
            <w:r w:rsidRPr="00324FA7">
              <w:rPr>
                <w:rFonts w:ascii="Arial" w:eastAsia="Times New Roman" w:hAnsi="Arial" w:cs="Arial"/>
                <w:sz w:val="24"/>
                <w:szCs w:val="24"/>
                <w:lang w:eastAsia="ru-RU"/>
              </w:rPr>
              <w:lastRenderedPageBreak/>
              <w:t xml:space="preserve">соглашениями на предоставление бюджетных кредитов для частичного покрытия дефицита бюджета </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 xml:space="preserve">Подготовка проекта закона (решения о бюджете) о бюджете на </w:t>
            </w:r>
            <w:r w:rsidRPr="00324FA7">
              <w:rPr>
                <w:rFonts w:ascii="Arial" w:eastAsia="Times New Roman" w:hAnsi="Arial" w:cs="Arial"/>
                <w:color w:val="000000"/>
                <w:sz w:val="24"/>
                <w:szCs w:val="24"/>
                <w:lang w:eastAsia="ru-RU"/>
              </w:rPr>
              <w:lastRenderedPageBreak/>
              <w:t>очередной финансовый год и на плановый период и проектов законов (решений) по внесению изменений в закон о бюджете на текущий год и на плановый период</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Комитет финансов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Соблюдение размера дефицита бюджета, предусмотренного </w:t>
            </w:r>
            <w:r w:rsidRPr="00324FA7">
              <w:rPr>
                <w:rFonts w:ascii="Arial" w:eastAsia="Times New Roman" w:hAnsi="Arial" w:cs="Arial"/>
                <w:color w:val="000000"/>
                <w:sz w:val="24"/>
                <w:szCs w:val="24"/>
                <w:lang w:eastAsia="ru-RU"/>
              </w:rPr>
              <w:lastRenderedPageBreak/>
              <w:t>заключенными соглашениями</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gridAfter w:val="1"/>
          <w:wAfter w:w="38" w:type="dxa"/>
          <w:trHeight w:val="1584"/>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1.6</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Направление на согласование основных параметров проекта бюджета на очередной финансовый год и на плановый период и проектов законов (решений) о внесении изменений в закон (решение) о бюджете до внесения в законодательный (представительный) орган</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Подготовка проекта закона (решения) о бюджете на очередной финансовый год и на плановый период и проектов законов (решений) о внесении изменений в закон (решение) о бюджете </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финансов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Направление в вышестоящий финансовый орган проектов законов (решений) о бюджете на очередной финансовый год и на плановый период и изменений в закон (решение) о бюджете </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gridAfter w:val="1"/>
          <w:wAfter w:w="38" w:type="dxa"/>
          <w:trHeight w:val="3672"/>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1.7</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Обеспечение согласования с вышестоящим финансовым органом проектов   нормативных правовых актов органов местного самоуправления муниципального образования, предусматривающих увеличение расходов на оказание мер социальной поддержки отдельным категориям граждан, осуществляемых за счет средств местного бюджета, до их принятия (утверждения) органами местного самоуправления муниципальных образований</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проектов нормативных правовых актов органов местного самоуправления муниципального образования, предусматривающих увеличение расходов на оказание мер социальной поддержки отдельным категориям граждан, осуществляемых за счет средств местного бюджета, до их принятия (утверждения) органами местного самоуправления муниципальных образований, с учетом заключения вышестоящего финансового органа</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исполнительной власти Курской области, комитет финансов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Направление в вышестоящий финансовый орган на заключение проектов нормативных правовых актов органов местного самоуправления муниципального образования, предусматривающих увеличение расходов на оказание мер социальной поддержки отдельным категориям граждан, осуществляемых за счет средств местного бюджета, до их принятия (утверждения) органами местного самоуправления муниципальных образований</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gridAfter w:val="1"/>
          <w:wAfter w:w="38" w:type="dxa"/>
          <w:trHeight w:val="288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1.8</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Недопущение принятия и исполнения расходных обязательств, не отнесенных Конституцией Российской Федерации и федеральными законами к полномочиям органов государственной власти Курской области, а также не отнесенных законами Курской области к полномочиям органов местного самоуправления</w:t>
            </w:r>
          </w:p>
        </w:tc>
        <w:tc>
          <w:tcPr>
            <w:tcW w:w="2217"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Подготовка проекта закона (решения) о бюджете на очередной финансовый год и на плановый период и проектов законов (решений) по внесению изменений в закон (решение) о бюджете на текущий год и на плановый период в рамках установленных полномочий </w:t>
            </w:r>
          </w:p>
        </w:tc>
        <w:tc>
          <w:tcPr>
            <w:tcW w:w="2774"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исполнительной власти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Соблюдение положений Конституции Российской Федерации, федеральных законов и законов Курской области в части принятия расходных обязательств, отнесенных к полномочиям органов государственной власти субъектов Российской Федерации (органов местного самоуправления)</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w:t>
            </w:r>
          </w:p>
        </w:tc>
        <w:tc>
          <w:tcPr>
            <w:tcW w:w="13928" w:type="dxa"/>
            <w:gridSpan w:val="9"/>
            <w:tcBorders>
              <w:top w:val="single" w:sz="4" w:space="0" w:color="auto"/>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Государственное и муниципальное управление</w:t>
            </w:r>
          </w:p>
        </w:tc>
        <w:tc>
          <w:tcPr>
            <w:tcW w:w="648" w:type="dxa"/>
            <w:gridSpan w:val="2"/>
            <w:tcBorders>
              <w:top w:val="nil"/>
              <w:left w:val="nil"/>
              <w:bottom w:val="single" w:sz="4" w:space="0" w:color="auto"/>
              <w:right w:val="single" w:sz="4" w:space="0" w:color="auto"/>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r>
      <w:tr w:rsidR="00324FA7" w:rsidRPr="00324FA7" w:rsidTr="00324FA7">
        <w:trPr>
          <w:gridAfter w:val="1"/>
          <w:wAfter w:w="38" w:type="dxa"/>
          <w:trHeight w:val="132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2.3</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детального анализа дублирующих функций органов местного самоуправления в целях дальнейшей оптимизации дублирующего персонала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Подготовка проектов нормативных правовых актов </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Экономия бюджетных средств, полученная в результате оптимизации дублирующего персонала </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68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2.4</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Оптимизация расходов на содержание органов местного самоуправления: </w:t>
            </w:r>
            <w:r w:rsidRPr="00324FA7">
              <w:rPr>
                <w:rFonts w:ascii="Arial" w:eastAsia="Times New Roman" w:hAnsi="Arial" w:cs="Arial"/>
                <w:color w:val="000000"/>
                <w:sz w:val="24"/>
                <w:szCs w:val="24"/>
                <w:lang w:eastAsia="ru-RU"/>
              </w:rPr>
              <w:br/>
              <w:t>- сокращение расходов на служебные командировки;</w:t>
            </w:r>
            <w:r w:rsidRPr="00324FA7">
              <w:rPr>
                <w:rFonts w:ascii="Arial" w:eastAsia="Times New Roman" w:hAnsi="Arial" w:cs="Arial"/>
                <w:color w:val="000000"/>
                <w:sz w:val="24"/>
                <w:szCs w:val="24"/>
                <w:lang w:eastAsia="ru-RU"/>
              </w:rPr>
              <w:br/>
              <w:t>- сокращение расходов на периодические издания;</w:t>
            </w:r>
            <w:r w:rsidRPr="00324FA7">
              <w:rPr>
                <w:rFonts w:ascii="Arial" w:eastAsia="Times New Roman" w:hAnsi="Arial" w:cs="Arial"/>
                <w:color w:val="000000"/>
                <w:sz w:val="24"/>
                <w:szCs w:val="24"/>
                <w:lang w:eastAsia="ru-RU"/>
              </w:rPr>
              <w:br/>
              <w:t>- сокращение расходов на приобретение и содержание служебного автотранспорта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проекта решения о бюджете муниципального образования на очередной финансовый год и на плановый период и проектов решений о внесении изменений в решения о бюджете муниципального образования</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Экономия бюджетных средств на содержание органов местного самоуправления</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9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2.5</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Организация работы по передаче полномочий администраций поселений, являющихся административными центрами муниципальных районов, администрациям муниципальных районов</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Подготовка проектов нормативных правовых актов </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Оптимизация бюджетных расходов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680"/>
        </w:trPr>
        <w:tc>
          <w:tcPr>
            <w:tcW w:w="750" w:type="dxa"/>
            <w:tcBorders>
              <w:top w:val="nil"/>
              <w:left w:val="single" w:sz="4" w:space="0" w:color="auto"/>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2.6</w:t>
            </w:r>
          </w:p>
        </w:tc>
        <w:tc>
          <w:tcPr>
            <w:tcW w:w="2562"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работы по преобразованию муниципальных образований Курской области путем их объединения</w:t>
            </w:r>
          </w:p>
        </w:tc>
        <w:tc>
          <w:tcPr>
            <w:tcW w:w="2217"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нормативного правового акта</w:t>
            </w:r>
          </w:p>
        </w:tc>
        <w:tc>
          <w:tcPr>
            <w:tcW w:w="2774"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внутренней политики  Администрации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нормативного правового акта</w:t>
            </w:r>
          </w:p>
        </w:tc>
        <w:tc>
          <w:tcPr>
            <w:tcW w:w="1423"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нет</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нет</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нет</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нет</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w:t>
            </w:r>
          </w:p>
        </w:tc>
        <w:tc>
          <w:tcPr>
            <w:tcW w:w="13928" w:type="dxa"/>
            <w:gridSpan w:val="9"/>
            <w:tcBorders>
              <w:top w:val="single" w:sz="4" w:space="0" w:color="auto"/>
              <w:left w:val="nil"/>
              <w:bottom w:val="single" w:sz="4" w:space="0" w:color="auto"/>
              <w:right w:val="single" w:sz="4" w:space="0" w:color="auto"/>
            </w:tcBorders>
            <w:shd w:val="clear" w:color="auto" w:fill="auto"/>
            <w:vAlign w:val="bottom"/>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Оптимизация бюджетной сети</w:t>
            </w:r>
          </w:p>
        </w:tc>
        <w:tc>
          <w:tcPr>
            <w:tcW w:w="648" w:type="dxa"/>
            <w:gridSpan w:val="2"/>
            <w:tcBorders>
              <w:top w:val="nil"/>
              <w:left w:val="nil"/>
              <w:bottom w:val="single" w:sz="4" w:space="0" w:color="auto"/>
              <w:right w:val="single" w:sz="4" w:space="0" w:color="auto"/>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Увеличение объема расходов за счет доходов от внебюджетной деятельности бюджетных и автономных учреждений </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мероприятий  по эффективному использованию государственного (муниципального) имущества, закрепленного за учреждениями</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исполнительной власти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Прирост расходов за счет поступлений от внебюджетной деятельности по сравнению с показателями предыдущего года</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3.2</w:t>
            </w:r>
          </w:p>
        </w:tc>
        <w:tc>
          <w:tcPr>
            <w:tcW w:w="14576" w:type="dxa"/>
            <w:gridSpan w:val="11"/>
            <w:tcBorders>
              <w:top w:val="single" w:sz="4" w:space="0" w:color="auto"/>
              <w:left w:val="nil"/>
              <w:bottom w:val="single" w:sz="4" w:space="0" w:color="auto"/>
              <w:right w:val="nil"/>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Осуществление оптимизации бюджетной сети, включая изменение типа существующих государственных учреждений, перепрофилирование бюджетных учреждений, присоединение отдельных учреждений (объединение нескольких) к другим организациям, ликвидацию бюджетных учреждений, в том числе деятельность которых не соответствует полномочиям, возложенным на публично-правовое образование, которое является его учредителем, а также не соответствует профилю органа, осуществляющего функции и полномочия учредителя</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3.2.1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Мероприятия в области образования</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нормативных правовых актов</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образования и науки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Реорганизация, ликвидация образовательных организаций: </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720"/>
        </w:trPr>
        <w:tc>
          <w:tcPr>
            <w:tcW w:w="750" w:type="dxa"/>
            <w:tcBorders>
              <w:top w:val="nil"/>
              <w:left w:val="single" w:sz="4" w:space="0" w:color="auto"/>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3.2.4</w:t>
            </w:r>
          </w:p>
        </w:tc>
        <w:tc>
          <w:tcPr>
            <w:tcW w:w="2562"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Мероприятия в прочих отраслях</w:t>
            </w:r>
          </w:p>
        </w:tc>
        <w:tc>
          <w:tcPr>
            <w:tcW w:w="2217"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нормативных правовых актов</w:t>
            </w:r>
          </w:p>
        </w:tc>
        <w:tc>
          <w:tcPr>
            <w:tcW w:w="2774"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Создание централизованной бухгалтерии</w:t>
            </w:r>
          </w:p>
        </w:tc>
        <w:tc>
          <w:tcPr>
            <w:tcW w:w="1423"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720"/>
        </w:trPr>
        <w:tc>
          <w:tcPr>
            <w:tcW w:w="750" w:type="dxa"/>
            <w:tcBorders>
              <w:top w:val="nil"/>
              <w:left w:val="single" w:sz="4" w:space="0" w:color="auto"/>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3.3</w:t>
            </w:r>
          </w:p>
        </w:tc>
        <w:tc>
          <w:tcPr>
            <w:tcW w:w="2562"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Оптимизация численности государственных (муниципальных) учреждений</w:t>
            </w:r>
          </w:p>
        </w:tc>
        <w:tc>
          <w:tcPr>
            <w:tcW w:w="2217"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нормативных правовых актов</w:t>
            </w:r>
          </w:p>
        </w:tc>
        <w:tc>
          <w:tcPr>
            <w:tcW w:w="2774"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Сокращение штата </w:t>
            </w:r>
            <w:r w:rsidR="005A3B66" w:rsidRPr="00324FA7">
              <w:rPr>
                <w:rFonts w:ascii="Arial" w:eastAsia="Times New Roman" w:hAnsi="Arial" w:cs="Arial"/>
                <w:color w:val="000000"/>
                <w:sz w:val="24"/>
                <w:szCs w:val="24"/>
                <w:lang w:eastAsia="ru-RU"/>
              </w:rPr>
              <w:t>специалистов</w:t>
            </w:r>
            <w:r w:rsidRPr="00324FA7">
              <w:rPr>
                <w:rFonts w:ascii="Arial" w:eastAsia="Times New Roman" w:hAnsi="Arial" w:cs="Arial"/>
                <w:color w:val="000000"/>
                <w:sz w:val="24"/>
                <w:szCs w:val="24"/>
                <w:lang w:eastAsia="ru-RU"/>
              </w:rPr>
              <w:t xml:space="preserve"> в учреждениях культуры</w:t>
            </w:r>
          </w:p>
        </w:tc>
        <w:tc>
          <w:tcPr>
            <w:tcW w:w="1423"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836"/>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3.4</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Уменьшение количества непрофильных специалистов и обслуживающего персонала организаций и учреждений</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Сокращение штата обслуживающего персонала</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образования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Сокращение штата обслуживающего персонала в образовательных организациях:</w:t>
            </w:r>
            <w:r w:rsidRPr="00324FA7">
              <w:rPr>
                <w:rFonts w:ascii="Arial" w:eastAsia="Times New Roman" w:hAnsi="Arial" w:cs="Arial"/>
                <w:color w:val="000000"/>
                <w:sz w:val="24"/>
                <w:szCs w:val="24"/>
                <w:lang w:eastAsia="ru-RU"/>
              </w:rPr>
              <w:br/>
              <w:t>Сокращение штата обслуживающего персонала и уменьшение количества непрофильных специалистов муниципальных учреждений:</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3.5</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Передача несвойственных функций бюджетных учреждений на аутсорсинг</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Передача несвойственных функций на аутсорсинг</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образования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Оптимизация расходов по обслуживанию передаваемого на аутсорсинг имущества</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9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3.6</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реорганизаций муниципальных учреждений</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нормативных правовых актов муниципальных образований о реорганизации муниципальных учреждений</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both"/>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Оптимизация бюджетных расходов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4.</w:t>
            </w:r>
          </w:p>
        </w:tc>
        <w:tc>
          <w:tcPr>
            <w:tcW w:w="14576" w:type="dxa"/>
            <w:gridSpan w:val="11"/>
            <w:tcBorders>
              <w:top w:val="single" w:sz="4" w:space="0" w:color="auto"/>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Эффективное управление имуществом</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4.1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Мероприятия по оптимизации неиспользуемого имущества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Проведение мероприятий  по эффективному использованию государственного имущества, закрепленного за государственными учреждениями</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Передача объектов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vAlign w:val="bottom"/>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w:t>
            </w:r>
          </w:p>
        </w:tc>
        <w:tc>
          <w:tcPr>
            <w:tcW w:w="13928" w:type="dxa"/>
            <w:gridSpan w:val="9"/>
            <w:tcBorders>
              <w:top w:val="single" w:sz="4" w:space="0" w:color="auto"/>
              <w:left w:val="nil"/>
              <w:bottom w:val="single" w:sz="4" w:space="0" w:color="auto"/>
              <w:right w:val="single" w:sz="4" w:space="0" w:color="auto"/>
            </w:tcBorders>
            <w:shd w:val="clear" w:color="auto" w:fill="auto"/>
            <w:vAlign w:val="bottom"/>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Совершенствование системы закупок для государственных и муниципальных нужд</w:t>
            </w:r>
          </w:p>
        </w:tc>
        <w:tc>
          <w:tcPr>
            <w:tcW w:w="648" w:type="dxa"/>
            <w:gridSpan w:val="2"/>
            <w:tcBorders>
              <w:top w:val="nil"/>
              <w:left w:val="nil"/>
              <w:bottom w:val="single" w:sz="4" w:space="0" w:color="auto"/>
              <w:right w:val="single" w:sz="4" w:space="0" w:color="auto"/>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r>
      <w:tr w:rsidR="00324FA7" w:rsidRPr="00324FA7" w:rsidTr="00324FA7">
        <w:trPr>
          <w:gridAfter w:val="1"/>
          <w:wAfter w:w="38" w:type="dxa"/>
          <w:trHeight w:val="480"/>
        </w:trPr>
        <w:tc>
          <w:tcPr>
            <w:tcW w:w="750"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5.1</w:t>
            </w: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Соблюдение при осуществлении государственных закупок следующих критериев:</w:t>
            </w:r>
          </w:p>
        </w:tc>
        <w:tc>
          <w:tcPr>
            <w:tcW w:w="2217"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аукционной и  конкурсной документации</w:t>
            </w:r>
          </w:p>
        </w:tc>
        <w:tc>
          <w:tcPr>
            <w:tcW w:w="2774"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исполнительной власти Курской области, государственные и муниципальные учреждения (по согласованию)</w:t>
            </w:r>
          </w:p>
        </w:tc>
        <w:tc>
          <w:tcPr>
            <w:tcW w:w="2562"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roofErr w:type="spellStart"/>
            <w:r w:rsidRPr="00324FA7">
              <w:rPr>
                <w:rFonts w:ascii="Arial" w:eastAsia="Times New Roman" w:hAnsi="Arial" w:cs="Arial"/>
                <w:color w:val="000000"/>
                <w:sz w:val="24"/>
                <w:szCs w:val="24"/>
                <w:lang w:eastAsia="ru-RU"/>
              </w:rPr>
              <w:t>Непрев</w:t>
            </w:r>
            <w:bookmarkStart w:id="1" w:name="_GoBack"/>
            <w:bookmarkEnd w:id="1"/>
            <w:r w:rsidRPr="00324FA7">
              <w:rPr>
                <w:rFonts w:ascii="Arial" w:eastAsia="Times New Roman" w:hAnsi="Arial" w:cs="Arial"/>
                <w:color w:val="000000"/>
                <w:sz w:val="24"/>
                <w:szCs w:val="24"/>
                <w:lang w:eastAsia="ru-RU"/>
              </w:rPr>
              <w:t>ышение</w:t>
            </w:r>
            <w:proofErr w:type="spellEnd"/>
            <w:r w:rsidRPr="00324FA7">
              <w:rPr>
                <w:rFonts w:ascii="Arial" w:eastAsia="Times New Roman" w:hAnsi="Arial" w:cs="Arial"/>
                <w:color w:val="000000"/>
                <w:sz w:val="24"/>
                <w:szCs w:val="24"/>
                <w:lang w:eastAsia="ru-RU"/>
              </w:rPr>
              <w:t xml:space="preserve"> лимитов бюджетных обязательств при заключении контрактов </w:t>
            </w:r>
          </w:p>
        </w:tc>
        <w:tc>
          <w:tcPr>
            <w:tcW w:w="1423"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gridAfter w:val="1"/>
          <w:wAfter w:w="38" w:type="dxa"/>
          <w:trHeight w:val="480"/>
        </w:trPr>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обоснованность закупок, начальных (максимальных) цен контрактов;</w:t>
            </w:r>
          </w:p>
        </w:tc>
        <w:tc>
          <w:tcPr>
            <w:tcW w:w="2217"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gridSpan w:val="2"/>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r>
      <w:tr w:rsidR="00324FA7" w:rsidRPr="00324FA7" w:rsidTr="00324FA7">
        <w:trPr>
          <w:gridAfter w:val="1"/>
          <w:wAfter w:w="38" w:type="dxa"/>
          <w:trHeight w:val="720"/>
        </w:trPr>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стремление к экономии в ходе закупочных процедур при условии соблюдения качества и требований законодательства;</w:t>
            </w:r>
          </w:p>
        </w:tc>
        <w:tc>
          <w:tcPr>
            <w:tcW w:w="2217"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gridSpan w:val="2"/>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r>
      <w:tr w:rsidR="00324FA7" w:rsidRPr="00324FA7" w:rsidTr="00324FA7">
        <w:trPr>
          <w:gridAfter w:val="1"/>
          <w:wAfter w:w="38" w:type="dxa"/>
          <w:trHeight w:val="960"/>
        </w:trPr>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 проведение обязательной экспертизы качества поставленного </w:t>
            </w:r>
            <w:r w:rsidRPr="00324FA7">
              <w:rPr>
                <w:rFonts w:ascii="Arial" w:eastAsia="Times New Roman" w:hAnsi="Arial" w:cs="Arial"/>
                <w:color w:val="000000"/>
                <w:sz w:val="24"/>
                <w:szCs w:val="24"/>
                <w:lang w:eastAsia="ru-RU"/>
              </w:rPr>
              <w:lastRenderedPageBreak/>
              <w:t>товара, выполненной работы или оказанной услуги, установленной федеральным законодательством;</w:t>
            </w:r>
          </w:p>
        </w:tc>
        <w:tc>
          <w:tcPr>
            <w:tcW w:w="2217"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gridSpan w:val="2"/>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r>
      <w:tr w:rsidR="00324FA7" w:rsidRPr="00324FA7" w:rsidTr="00324FA7">
        <w:trPr>
          <w:gridAfter w:val="1"/>
          <w:wAfter w:w="38" w:type="dxa"/>
          <w:trHeight w:val="2160"/>
        </w:trPr>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tcBorders>
              <w:top w:val="nil"/>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 создание заказчиком приемочной комиссии для приемки поставленного товара, выполненной работы или оказанной услуги, результатов отдельного этапа исполнения контракта (если заказчиком не привлекаются эксперты, экспертные организации  к проведению экспертизы поставленного товара, выполненной работы или оказанной услуги в </w:t>
            </w:r>
            <w:r w:rsidRPr="00324FA7">
              <w:rPr>
                <w:rFonts w:ascii="Arial" w:eastAsia="Times New Roman" w:hAnsi="Arial" w:cs="Arial"/>
                <w:color w:val="000000"/>
                <w:sz w:val="24"/>
                <w:szCs w:val="24"/>
                <w:lang w:eastAsia="ru-RU"/>
              </w:rPr>
              <w:lastRenderedPageBreak/>
              <w:t>случаях, установленных  действующим законодательством)</w:t>
            </w:r>
          </w:p>
        </w:tc>
        <w:tc>
          <w:tcPr>
            <w:tcW w:w="2217"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774"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2562"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1423"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c>
          <w:tcPr>
            <w:tcW w:w="750" w:type="dxa"/>
            <w:gridSpan w:val="2"/>
            <w:vMerge/>
            <w:tcBorders>
              <w:top w:val="nil"/>
              <w:left w:val="single" w:sz="4" w:space="0" w:color="auto"/>
              <w:bottom w:val="single" w:sz="4" w:space="0" w:color="auto"/>
              <w:right w:val="single" w:sz="4" w:space="0" w:color="auto"/>
            </w:tcBorders>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p>
        </w:tc>
      </w:tr>
      <w:tr w:rsidR="00324FA7" w:rsidRPr="00324FA7" w:rsidTr="00324FA7">
        <w:trPr>
          <w:gridAfter w:val="1"/>
          <w:wAfter w:w="38" w:type="dxa"/>
          <w:trHeight w:val="168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5.2</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Сокращение расходов областного (местных) бюджетов  по результатам проведения конкурсов, аукционов при осуществлении  закупок товаров, работ и услуг</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Осуществление закупок конкурентными способами определения поставщиков (подрядчиков, исполнителей)</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исполнительной власти Курской области, государственные и муниципальные учреждения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Экономия бюджетных средств по результатам размещения заказов</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6.</w:t>
            </w:r>
          </w:p>
        </w:tc>
        <w:tc>
          <w:tcPr>
            <w:tcW w:w="14576" w:type="dxa"/>
            <w:gridSpan w:val="11"/>
            <w:tcBorders>
              <w:top w:val="single" w:sz="4" w:space="0" w:color="auto"/>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Меры по совершенствованию межбюджетных отношений на региональном уровне в части перераспределения и увеличения доходов</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6.1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Повышение эффективности бюджетных расходов за счет привлечения населения к участию в проекте «Народный бюджет»</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Участие в реализации проекта «Народный бюджет»</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Экономия бюджетных средств  в связи с участием населения в проекте «Народный бюджет»</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trHeight w:val="288"/>
        </w:trPr>
        <w:tc>
          <w:tcPr>
            <w:tcW w:w="750" w:type="dxa"/>
            <w:tcBorders>
              <w:top w:val="nil"/>
              <w:left w:val="single" w:sz="4" w:space="0" w:color="auto"/>
              <w:bottom w:val="single" w:sz="4" w:space="0" w:color="auto"/>
              <w:right w:val="nil"/>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7.</w:t>
            </w:r>
          </w:p>
        </w:tc>
        <w:tc>
          <w:tcPr>
            <w:tcW w:w="14576" w:type="dxa"/>
            <w:gridSpan w:val="11"/>
            <w:tcBorders>
              <w:top w:val="single" w:sz="4" w:space="0" w:color="auto"/>
              <w:left w:val="nil"/>
              <w:bottom w:val="single" w:sz="4" w:space="0" w:color="auto"/>
              <w:right w:val="nil"/>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Оптимизация инвестиционных расходов, субсидий юридическим лицам и дебиторской задолженности</w:t>
            </w:r>
          </w:p>
        </w:tc>
      </w:tr>
      <w:tr w:rsidR="00324FA7" w:rsidRPr="00324FA7" w:rsidTr="00324FA7">
        <w:trPr>
          <w:gridAfter w:val="1"/>
          <w:wAfter w:w="38" w:type="dxa"/>
          <w:trHeight w:val="96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7.2</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Сокращение объемов незавершенного строительства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Анализ и использование информации при подготовке проекта бюджета на очередной финансовый год и плановый период</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Подготовка предложений</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trHeight w:val="288"/>
        </w:trPr>
        <w:tc>
          <w:tcPr>
            <w:tcW w:w="750" w:type="dxa"/>
            <w:tcBorders>
              <w:top w:val="nil"/>
              <w:left w:val="single" w:sz="4" w:space="0" w:color="auto"/>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8.</w:t>
            </w:r>
          </w:p>
        </w:tc>
        <w:tc>
          <w:tcPr>
            <w:tcW w:w="13928" w:type="dxa"/>
            <w:gridSpan w:val="9"/>
            <w:tcBorders>
              <w:top w:val="single" w:sz="4" w:space="0" w:color="auto"/>
              <w:left w:val="nil"/>
              <w:bottom w:val="single" w:sz="4" w:space="0" w:color="auto"/>
              <w:right w:val="single" w:sz="4" w:space="0" w:color="auto"/>
            </w:tcBorders>
            <w:shd w:val="clear" w:color="auto" w:fill="auto"/>
            <w:hideMark/>
          </w:tcPr>
          <w:p w:rsidR="00324FA7" w:rsidRPr="00324FA7" w:rsidRDefault="00324FA7" w:rsidP="00324FA7">
            <w:pPr>
              <w:spacing w:after="0" w:line="240" w:lineRule="auto"/>
              <w:jc w:val="center"/>
              <w:rPr>
                <w:rFonts w:ascii="Arial" w:eastAsia="Times New Roman" w:hAnsi="Arial" w:cs="Arial"/>
                <w:b/>
                <w:bCs/>
                <w:color w:val="000000"/>
                <w:sz w:val="24"/>
                <w:szCs w:val="24"/>
                <w:lang w:eastAsia="ru-RU"/>
              </w:rPr>
            </w:pPr>
            <w:r w:rsidRPr="00324FA7">
              <w:rPr>
                <w:rFonts w:ascii="Arial" w:eastAsia="Times New Roman" w:hAnsi="Arial" w:cs="Arial"/>
                <w:b/>
                <w:bCs/>
                <w:color w:val="000000"/>
                <w:sz w:val="24"/>
                <w:szCs w:val="24"/>
                <w:lang w:eastAsia="ru-RU"/>
              </w:rPr>
              <w:t>Меры по сокращению государственного и муниципального долга</w:t>
            </w:r>
          </w:p>
        </w:tc>
        <w:tc>
          <w:tcPr>
            <w:tcW w:w="648" w:type="dxa"/>
            <w:gridSpan w:val="2"/>
            <w:tcBorders>
              <w:top w:val="nil"/>
              <w:left w:val="nil"/>
              <w:bottom w:val="single" w:sz="4" w:space="0" w:color="auto"/>
              <w:right w:val="single" w:sz="4" w:space="0" w:color="auto"/>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w:t>
            </w:r>
          </w:p>
        </w:tc>
      </w:tr>
      <w:tr w:rsidR="00324FA7" w:rsidRPr="00324FA7" w:rsidTr="00324FA7">
        <w:trPr>
          <w:gridAfter w:val="1"/>
          <w:wAfter w:w="38" w:type="dxa"/>
          <w:trHeight w:val="120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8.1</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Мониторинг процентных ставок по кредитам кредитных организаций в целях оптимизации расходов на обслуживание государственного (муниципального) долга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Письменные запросы в кредитные организации</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Комитет финансов Курской области, органы местного самоуправления (по согласованию) </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Экономия от снижения процентных ставок</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192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8.3</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 xml:space="preserve">Включение в состав источников финансирования дефицита местного бюджета привлечения бюджетных кредитов из областного бюджета после соответствующего решения о </w:t>
            </w:r>
            <w:r w:rsidRPr="00324FA7">
              <w:rPr>
                <w:rFonts w:ascii="Arial" w:eastAsia="Times New Roman" w:hAnsi="Arial" w:cs="Arial"/>
                <w:color w:val="000000"/>
                <w:sz w:val="24"/>
                <w:szCs w:val="24"/>
                <w:lang w:eastAsia="ru-RU"/>
              </w:rPr>
              <w:lastRenderedPageBreak/>
              <w:t>предоставлении бюджетного кредита</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Внесение изменений в решение о бюджете муниципального образования</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Отсутствие в источниках финансирования дефицита местного бюджета привлечения бюджетных кредитов из областного бюджета без соответствующего решения</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да/нет</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c>
          <w:tcPr>
            <w:tcW w:w="750" w:type="dxa"/>
            <w:gridSpan w:val="2"/>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да</w:t>
            </w:r>
          </w:p>
        </w:tc>
      </w:tr>
      <w:tr w:rsidR="00324FA7" w:rsidRPr="00324FA7" w:rsidTr="00324FA7">
        <w:trPr>
          <w:gridAfter w:val="1"/>
          <w:wAfter w:w="38" w:type="dxa"/>
          <w:trHeight w:val="1320"/>
        </w:trPr>
        <w:tc>
          <w:tcPr>
            <w:tcW w:w="750" w:type="dxa"/>
            <w:tcBorders>
              <w:top w:val="nil"/>
              <w:left w:val="single" w:sz="4" w:space="0" w:color="auto"/>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lastRenderedPageBreak/>
              <w:t>8.8</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Привлечение бюджетных кредитов на пополнение остатков средств на счетах областного бюджета в Управлении Федерального казначейства по Курской области</w:t>
            </w:r>
          </w:p>
        </w:tc>
        <w:tc>
          <w:tcPr>
            <w:tcW w:w="2217"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Заключение договора о предоставлении бюджетного кредита</w:t>
            </w:r>
          </w:p>
        </w:tc>
        <w:tc>
          <w:tcPr>
            <w:tcW w:w="2774"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Комитет финансов Курской  области, органы местного самоуправления (по согласованию)</w:t>
            </w:r>
          </w:p>
        </w:tc>
        <w:tc>
          <w:tcPr>
            <w:tcW w:w="2562"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Экономия от использования ставки бюджетного кредита в сравнении со ставкой кредита кредитной организации</w:t>
            </w:r>
          </w:p>
        </w:tc>
        <w:tc>
          <w:tcPr>
            <w:tcW w:w="1423" w:type="dxa"/>
            <w:tcBorders>
              <w:top w:val="nil"/>
              <w:left w:val="nil"/>
              <w:bottom w:val="single" w:sz="4" w:space="0" w:color="auto"/>
              <w:right w:val="single" w:sz="4" w:space="0" w:color="auto"/>
            </w:tcBorders>
            <w:shd w:val="clear" w:color="auto" w:fill="auto"/>
            <w:vAlign w:val="center"/>
            <w:hideMark/>
          </w:tcPr>
          <w:p w:rsidR="00324FA7" w:rsidRPr="00324FA7" w:rsidRDefault="00324FA7" w:rsidP="00324FA7">
            <w:pPr>
              <w:spacing w:after="0" w:line="240" w:lineRule="auto"/>
              <w:jc w:val="center"/>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тыс. рублей</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c>
          <w:tcPr>
            <w:tcW w:w="750" w:type="dxa"/>
            <w:gridSpan w:val="2"/>
            <w:tcBorders>
              <w:top w:val="nil"/>
              <w:left w:val="nil"/>
              <w:bottom w:val="single" w:sz="4" w:space="0" w:color="auto"/>
              <w:right w:val="single" w:sz="4" w:space="0" w:color="auto"/>
            </w:tcBorders>
            <w:shd w:val="clear" w:color="000000" w:fill="FFFFFF"/>
            <w:vAlign w:val="center"/>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r w:rsidRPr="00324FA7">
              <w:rPr>
                <w:rFonts w:ascii="Arial" w:eastAsia="Times New Roman" w:hAnsi="Arial" w:cs="Arial"/>
                <w:color w:val="000000"/>
                <w:sz w:val="24"/>
                <w:szCs w:val="24"/>
                <w:lang w:eastAsia="ru-RU"/>
              </w:rPr>
              <w:t>0</w:t>
            </w: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jc w:val="right"/>
              <w:rPr>
                <w:rFonts w:ascii="Arial" w:eastAsia="Times New Roman" w:hAnsi="Arial" w:cs="Arial"/>
                <w:color w:val="000000"/>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r w:rsidR="00324FA7" w:rsidRPr="00324FA7" w:rsidTr="00324FA7">
        <w:trPr>
          <w:gridAfter w:val="1"/>
          <w:wAfter w:w="38" w:type="dxa"/>
          <w:trHeight w:val="288"/>
        </w:trPr>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217"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774"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2562"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Times New Roman" w:eastAsia="Times New Roman" w:hAnsi="Times New Roman" w:cs="Times New Roman"/>
                <w:sz w:val="20"/>
                <w:szCs w:val="20"/>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c>
          <w:tcPr>
            <w:tcW w:w="750" w:type="dxa"/>
            <w:gridSpan w:val="2"/>
            <w:tcBorders>
              <w:top w:val="nil"/>
              <w:left w:val="nil"/>
              <w:bottom w:val="nil"/>
              <w:right w:val="nil"/>
            </w:tcBorders>
            <w:shd w:val="clear" w:color="auto" w:fill="auto"/>
            <w:noWrap/>
            <w:vAlign w:val="bottom"/>
            <w:hideMark/>
          </w:tcPr>
          <w:p w:rsidR="00324FA7" w:rsidRPr="00324FA7" w:rsidRDefault="00324FA7" w:rsidP="00324FA7">
            <w:pPr>
              <w:spacing w:after="0" w:line="240" w:lineRule="auto"/>
              <w:rPr>
                <w:rFonts w:ascii="Arial" w:eastAsia="Times New Roman" w:hAnsi="Arial" w:cs="Arial"/>
                <w:sz w:val="24"/>
                <w:szCs w:val="24"/>
                <w:lang w:eastAsia="ru-RU"/>
              </w:rPr>
            </w:pPr>
          </w:p>
        </w:tc>
      </w:tr>
    </w:tbl>
    <w:p w:rsidR="000B685E" w:rsidRDefault="000B685E"/>
    <w:sectPr w:rsidR="000B685E" w:rsidSect="00324FA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FA7"/>
    <w:rsid w:val="000B685E"/>
    <w:rsid w:val="00324FA7"/>
    <w:rsid w:val="005A3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359D5"/>
  <w15:chartTrackingRefBased/>
  <w15:docId w15:val="{A6CD6A1F-E513-4EFE-82F0-7C153815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4FA7"/>
    <w:rPr>
      <w:color w:val="0563C1"/>
      <w:u w:val="single"/>
    </w:rPr>
  </w:style>
  <w:style w:type="character" w:styleId="a4">
    <w:name w:val="FollowedHyperlink"/>
    <w:basedOn w:val="a0"/>
    <w:uiPriority w:val="99"/>
    <w:semiHidden/>
    <w:unhideWhenUsed/>
    <w:rsid w:val="00324FA7"/>
    <w:rPr>
      <w:color w:val="954F72"/>
      <w:u w:val="single"/>
    </w:rPr>
  </w:style>
  <w:style w:type="paragraph" w:customStyle="1" w:styleId="msonormal0">
    <w:name w:val="msonormal"/>
    <w:basedOn w:val="a"/>
    <w:rsid w:val="00324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324FA7"/>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63">
    <w:name w:val="xl63"/>
    <w:basedOn w:val="a"/>
    <w:rsid w:val="00324FA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4">
    <w:name w:val="xl64"/>
    <w:basedOn w:val="a"/>
    <w:rsid w:val="00324FA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
    <w:rsid w:val="00324FA7"/>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66">
    <w:name w:val="xl66"/>
    <w:basedOn w:val="a"/>
    <w:rsid w:val="00324FA7"/>
    <w:pP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67">
    <w:name w:val="xl67"/>
    <w:basedOn w:val="a"/>
    <w:rsid w:val="00324FA7"/>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324FA7"/>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324FA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324FA7"/>
    <w:pP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1">
    <w:name w:val="xl71"/>
    <w:basedOn w:val="a"/>
    <w:rsid w:val="00324FA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324FA7"/>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324FA7"/>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75">
    <w:name w:val="xl75"/>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324FA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7">
    <w:name w:val="xl77"/>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79">
    <w:name w:val="xl79"/>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2">
    <w:name w:val="xl82"/>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83">
    <w:name w:val="xl83"/>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
    <w:name w:val="xl84"/>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
    <w:rsid w:val="00324FA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86">
    <w:name w:val="xl86"/>
    <w:basedOn w:val="a"/>
    <w:rsid w:val="00324F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89">
    <w:name w:val="xl89"/>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92">
    <w:name w:val="xl92"/>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4">
    <w:name w:val="xl94"/>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5">
    <w:name w:val="xl95"/>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96">
    <w:name w:val="xl96"/>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98">
    <w:name w:val="xl98"/>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0">
    <w:name w:val="xl100"/>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2">
    <w:name w:val="xl102"/>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3">
    <w:name w:val="xl103"/>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04">
    <w:name w:val="xl104"/>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5">
    <w:name w:val="xl105"/>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06">
    <w:name w:val="xl106"/>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07">
    <w:name w:val="xl107"/>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08">
    <w:name w:val="xl108"/>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9">
    <w:name w:val="xl109"/>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11">
    <w:name w:val="xl111"/>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lang w:eastAsia="ru-RU"/>
    </w:rPr>
  </w:style>
  <w:style w:type="paragraph" w:customStyle="1" w:styleId="xl112">
    <w:name w:val="xl112"/>
    <w:basedOn w:val="a"/>
    <w:rsid w:val="00324FA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4">
    <w:name w:val="xl114"/>
    <w:basedOn w:val="a"/>
    <w:rsid w:val="00324FA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
    <w:rsid w:val="00324FA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17">
    <w:name w:val="xl117"/>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18">
    <w:name w:val="xl118"/>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9">
    <w:name w:val="xl119"/>
    <w:basedOn w:val="a"/>
    <w:rsid w:val="00324FA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0">
    <w:name w:val="xl120"/>
    <w:basedOn w:val="a"/>
    <w:rsid w:val="00324FA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eastAsia="ru-RU"/>
    </w:rPr>
  </w:style>
  <w:style w:type="paragraph" w:customStyle="1" w:styleId="xl121">
    <w:name w:val="xl121"/>
    <w:basedOn w:val="a"/>
    <w:rsid w:val="00324FA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22">
    <w:name w:val="xl122"/>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23">
    <w:name w:val="xl123"/>
    <w:basedOn w:val="a"/>
    <w:rsid w:val="00324F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4">
    <w:name w:val="xl124"/>
    <w:basedOn w:val="a"/>
    <w:rsid w:val="00324FA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5">
    <w:name w:val="xl125"/>
    <w:basedOn w:val="a"/>
    <w:rsid w:val="00324FA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6">
    <w:name w:val="xl126"/>
    <w:basedOn w:val="a"/>
    <w:rsid w:val="00324F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27">
    <w:name w:val="xl127"/>
    <w:basedOn w:val="a"/>
    <w:rsid w:val="00324FA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28">
    <w:name w:val="xl128"/>
    <w:basedOn w:val="a"/>
    <w:rsid w:val="00324FA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29">
    <w:name w:val="xl129"/>
    <w:basedOn w:val="a"/>
    <w:rsid w:val="00324FA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30">
    <w:name w:val="xl130"/>
    <w:basedOn w:val="a"/>
    <w:rsid w:val="00324FA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31">
    <w:name w:val="xl131"/>
    <w:basedOn w:val="a"/>
    <w:rsid w:val="00324FA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32">
    <w:name w:val="xl132"/>
    <w:basedOn w:val="a"/>
    <w:rsid w:val="00324FA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
    <w:rsid w:val="00324FA7"/>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4">
    <w:name w:val="xl134"/>
    <w:basedOn w:val="a"/>
    <w:rsid w:val="00324FA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5">
    <w:name w:val="xl135"/>
    <w:basedOn w:val="a"/>
    <w:rsid w:val="00324FA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6">
    <w:name w:val="xl136"/>
    <w:basedOn w:val="a"/>
    <w:rsid w:val="00324FA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7">
    <w:name w:val="xl137"/>
    <w:basedOn w:val="a"/>
    <w:rsid w:val="00324FA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8">
    <w:name w:val="xl138"/>
    <w:basedOn w:val="a"/>
    <w:rsid w:val="00324FA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39">
    <w:name w:val="xl139"/>
    <w:basedOn w:val="a"/>
    <w:rsid w:val="00324FA7"/>
    <w:pP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0">
    <w:name w:val="xl140"/>
    <w:basedOn w:val="a"/>
    <w:rsid w:val="00324FA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1">
    <w:name w:val="xl141"/>
    <w:basedOn w:val="a"/>
    <w:rsid w:val="00324FA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2">
    <w:name w:val="xl142"/>
    <w:basedOn w:val="a"/>
    <w:rsid w:val="00324FA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324FA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44">
    <w:name w:val="xl144"/>
    <w:basedOn w:val="a"/>
    <w:rsid w:val="00324F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
    <w:rsid w:val="00324FA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6">
    <w:name w:val="xl146"/>
    <w:basedOn w:val="a"/>
    <w:rsid w:val="00324FA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47">
    <w:name w:val="xl147"/>
    <w:basedOn w:val="a"/>
    <w:rsid w:val="00324FA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8">
    <w:name w:val="xl148"/>
    <w:basedOn w:val="a"/>
    <w:rsid w:val="00324FA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9">
    <w:name w:val="xl149"/>
    <w:basedOn w:val="a"/>
    <w:rsid w:val="00324FA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0">
    <w:name w:val="xl150"/>
    <w:basedOn w:val="a"/>
    <w:rsid w:val="00324FA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1">
    <w:name w:val="xl151"/>
    <w:basedOn w:val="a"/>
    <w:rsid w:val="00324FA7"/>
    <w:pPr>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152">
    <w:name w:val="xl152"/>
    <w:basedOn w:val="a"/>
    <w:rsid w:val="00324FA7"/>
    <w:pPr>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53">
    <w:name w:val="xl153"/>
    <w:basedOn w:val="a"/>
    <w:rsid w:val="00324FA7"/>
    <w:pPr>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
    <w:rsid w:val="00324FA7"/>
    <w:pPr>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2691</Words>
  <Characters>15341</Characters>
  <Application>Microsoft Office Word</Application>
  <DocSecurity>0</DocSecurity>
  <Lines>127</Lines>
  <Paragraphs>35</Paragraphs>
  <ScaleCrop>false</ScaleCrop>
  <Company>SPecialiST RePack</Company>
  <LinksUpToDate>false</LinksUpToDate>
  <CharactersWithSpaces>17997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4</cp:revision>
  <dcterms:created xsi:type="dcterms:W3CDTF">2020-06-04T10:39:00Z</dcterms:created>
  <dcterms:modified xsi:type="dcterms:W3CDTF">2020-06-09T07:14:00Z</dcterms:modified>
</cp:coreProperties>
</file>